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1B98" w14:textId="77777777" w:rsidR="00EE2CB2" w:rsidRDefault="00EE2CB2">
      <w:pPr>
        <w:jc w:val="both"/>
        <w:rPr>
          <w:rFonts w:ascii="Times New Roman" w:eastAsia="Times New Roman" w:hAnsi="Times New Roman" w:cs="Times New Roman"/>
          <w:b/>
        </w:rPr>
      </w:pPr>
    </w:p>
    <w:p w14:paraId="2B9591A1"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Editor’s Note </w:t>
      </w:r>
    </w:p>
    <w:p w14:paraId="24008743" w14:textId="77777777" w:rsidR="00EE2CB2" w:rsidRDefault="00EE2CB2">
      <w:pPr>
        <w:jc w:val="both"/>
        <w:rPr>
          <w:rFonts w:ascii="Times New Roman" w:eastAsia="Times New Roman" w:hAnsi="Times New Roman" w:cs="Times New Roman"/>
        </w:rPr>
      </w:pPr>
    </w:p>
    <w:p w14:paraId="33D3E8A0" w14:textId="77777777" w:rsidR="00EE2CB2" w:rsidRDefault="00EE2CB2">
      <w:pPr>
        <w:jc w:val="both"/>
        <w:rPr>
          <w:rFonts w:ascii="Times New Roman" w:eastAsia="Times New Roman" w:hAnsi="Times New Roman" w:cs="Times New Roman"/>
        </w:rPr>
      </w:pPr>
    </w:p>
    <w:p w14:paraId="63900974" w14:textId="01A072E4"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Our efforts have always been directed towards making people aware of the new developments in the field of law and its </w:t>
      </w:r>
      <w:r>
        <w:rPr>
          <w:rFonts w:ascii="Times New Roman" w:eastAsia="Times New Roman" w:hAnsi="Times New Roman" w:cs="Times New Roman"/>
        </w:rPr>
        <w:t xml:space="preserve">disciplines. With this goal in mind, we are extremely pleased to announce the release of our new edition/1st edition of our </w:t>
      </w:r>
      <w:r w:rsidRPr="00C027D1">
        <w:rPr>
          <w:rFonts w:ascii="Times New Roman" w:eastAsia="Times New Roman" w:hAnsi="Times New Roman" w:cs="Times New Roman"/>
          <w:b/>
          <w:bCs/>
        </w:rPr>
        <w:t>corpora</w:t>
      </w:r>
      <w:r w:rsidRPr="00C027D1">
        <w:rPr>
          <w:rFonts w:ascii="Times New Roman" w:eastAsia="Times New Roman" w:hAnsi="Times New Roman" w:cs="Times New Roman"/>
          <w:b/>
          <w:bCs/>
        </w:rPr>
        <w:t>te newsletter - TRIBUNAL</w:t>
      </w:r>
      <w:r>
        <w:rPr>
          <w:rFonts w:ascii="Times New Roman" w:eastAsia="Times New Roman" w:hAnsi="Times New Roman" w:cs="Times New Roman"/>
        </w:rPr>
        <w:t xml:space="preserve">, that covers all the major </w:t>
      </w:r>
      <w:r w:rsidR="00C027D1">
        <w:rPr>
          <w:rFonts w:ascii="Times New Roman" w:eastAsia="Times New Roman" w:hAnsi="Times New Roman" w:cs="Times New Roman"/>
        </w:rPr>
        <w:t>judgments</w:t>
      </w:r>
      <w:r>
        <w:rPr>
          <w:rFonts w:ascii="Times New Roman" w:eastAsia="Times New Roman" w:hAnsi="Times New Roman" w:cs="Times New Roman"/>
        </w:rPr>
        <w:t xml:space="preserve"> from commercial courts/tribunals of India. Spanning from the ongoing dispute between Amazon and Future Retail Group in the </w:t>
      </w:r>
      <w:r w:rsidRPr="00C027D1">
        <w:rPr>
          <w:rFonts w:ascii="Times New Roman" w:eastAsia="Times New Roman" w:hAnsi="Times New Roman" w:cs="Times New Roman"/>
          <w:b/>
          <w:bCs/>
        </w:rPr>
        <w:t xml:space="preserve">National Company Law Appellate Tribunal (NCLAT)  </w:t>
      </w:r>
      <w:r>
        <w:rPr>
          <w:rFonts w:ascii="Times New Roman" w:eastAsia="Times New Roman" w:hAnsi="Times New Roman" w:cs="Times New Roman"/>
        </w:rPr>
        <w:t xml:space="preserve">to the power struggle </w:t>
      </w:r>
      <w:r>
        <w:rPr>
          <w:rFonts w:ascii="Times New Roman" w:eastAsia="Times New Roman" w:hAnsi="Times New Roman" w:cs="Times New Roman"/>
        </w:rPr>
        <w:t xml:space="preserve">between the Securities and Exchange Board of India (SEBI) and </w:t>
      </w:r>
      <w:r w:rsidRPr="00C027D1">
        <w:rPr>
          <w:rFonts w:ascii="Times New Roman" w:eastAsia="Times New Roman" w:hAnsi="Times New Roman" w:cs="Times New Roman"/>
          <w:b/>
          <w:bCs/>
        </w:rPr>
        <w:t>Securities Appellate Tribunal (SAT)</w:t>
      </w:r>
      <w:r>
        <w:rPr>
          <w:rFonts w:ascii="Times New Roman" w:eastAsia="Times New Roman" w:hAnsi="Times New Roman" w:cs="Times New Roman"/>
        </w:rPr>
        <w:t xml:space="preserve"> to discussing the recently released </w:t>
      </w:r>
      <w:r w:rsidRPr="00C027D1">
        <w:rPr>
          <w:rFonts w:ascii="Times New Roman" w:eastAsia="Times New Roman" w:hAnsi="Times New Roman" w:cs="Times New Roman"/>
          <w:b/>
          <w:bCs/>
        </w:rPr>
        <w:t xml:space="preserve">PM </w:t>
      </w:r>
      <w:proofErr w:type="spellStart"/>
      <w:r w:rsidRPr="00C027D1">
        <w:rPr>
          <w:rFonts w:ascii="Times New Roman" w:eastAsia="Times New Roman" w:hAnsi="Times New Roman" w:cs="Times New Roman"/>
          <w:b/>
          <w:bCs/>
        </w:rPr>
        <w:t>Gati</w:t>
      </w:r>
      <w:proofErr w:type="spellEnd"/>
      <w:r w:rsidRPr="00C027D1">
        <w:rPr>
          <w:rFonts w:ascii="Times New Roman" w:eastAsia="Times New Roman" w:hAnsi="Times New Roman" w:cs="Times New Roman"/>
          <w:b/>
          <w:bCs/>
        </w:rPr>
        <w:t xml:space="preserve"> Shakti policy</w:t>
      </w:r>
      <w:r>
        <w:rPr>
          <w:rFonts w:ascii="Times New Roman" w:eastAsia="Times New Roman" w:hAnsi="Times New Roman" w:cs="Times New Roman"/>
        </w:rPr>
        <w:t xml:space="preserve"> and a plethora of other important judgements, we have attempted to go over the recent updates in the</w:t>
      </w:r>
      <w:r>
        <w:rPr>
          <w:rFonts w:ascii="Times New Roman" w:eastAsia="Times New Roman" w:hAnsi="Times New Roman" w:cs="Times New Roman"/>
        </w:rPr>
        <w:t xml:space="preserve"> domain of Corporate Law and decisions from various tribunals like </w:t>
      </w:r>
      <w:r w:rsidRPr="00C027D1">
        <w:rPr>
          <w:rFonts w:ascii="Times New Roman" w:eastAsia="Times New Roman" w:hAnsi="Times New Roman" w:cs="Times New Roman"/>
          <w:b/>
          <w:bCs/>
        </w:rPr>
        <w:t>National Company Law Tribunal (NCLT), Debt Recovery Tribunal (DRT),</w:t>
      </w:r>
      <w:r>
        <w:rPr>
          <w:rFonts w:ascii="Times New Roman" w:eastAsia="Times New Roman" w:hAnsi="Times New Roman" w:cs="Times New Roman"/>
        </w:rPr>
        <w:t xml:space="preserve"> Income Tax Appellate Tribunal (ITAT), across the nation. </w:t>
      </w:r>
    </w:p>
    <w:p w14:paraId="27C7A459" w14:textId="77777777" w:rsidR="00EE2CB2" w:rsidRDefault="00EE2CB2">
      <w:pPr>
        <w:jc w:val="both"/>
        <w:rPr>
          <w:rFonts w:ascii="Times New Roman" w:eastAsia="Times New Roman" w:hAnsi="Times New Roman" w:cs="Times New Roman"/>
        </w:rPr>
      </w:pPr>
    </w:p>
    <w:p w14:paraId="30F8B1D1" w14:textId="036435F3" w:rsidR="00EE2CB2" w:rsidRDefault="00BD18D0">
      <w:pPr>
        <w:jc w:val="both"/>
        <w:rPr>
          <w:rFonts w:ascii="Times New Roman" w:eastAsia="Times New Roman" w:hAnsi="Times New Roman" w:cs="Times New Roman"/>
        </w:rPr>
      </w:pPr>
      <w:r>
        <w:rPr>
          <w:rFonts w:ascii="Times New Roman" w:eastAsia="Times New Roman" w:hAnsi="Times New Roman" w:cs="Times New Roman"/>
        </w:rPr>
        <w:t>We hope that you find the following read insightful in enhanci</w:t>
      </w:r>
      <w:r>
        <w:rPr>
          <w:rFonts w:ascii="Times New Roman" w:eastAsia="Times New Roman" w:hAnsi="Times New Roman" w:cs="Times New Roman"/>
        </w:rPr>
        <w:t>ng your knowledge of the corporate law domain</w:t>
      </w:r>
      <w:r>
        <w:rPr>
          <w:rFonts w:ascii="Times New Roman" w:eastAsia="Times New Roman" w:hAnsi="Times New Roman" w:cs="Times New Roman"/>
        </w:rPr>
        <w:t xml:space="preserve">. Happy and meaningful reading! </w:t>
      </w:r>
    </w:p>
    <w:p w14:paraId="603274A0" w14:textId="0AB113FE" w:rsidR="00A81116" w:rsidRDefault="00A81116">
      <w:pPr>
        <w:jc w:val="both"/>
        <w:rPr>
          <w:rFonts w:ascii="Times New Roman" w:eastAsia="Times New Roman" w:hAnsi="Times New Roman" w:cs="Times New Roman"/>
        </w:rPr>
      </w:pPr>
    </w:p>
    <w:p w14:paraId="4658A009" w14:textId="51004BEA" w:rsidR="00A81116" w:rsidRDefault="00A81116">
      <w:pPr>
        <w:jc w:val="both"/>
        <w:rPr>
          <w:rFonts w:ascii="Times New Roman" w:eastAsia="Times New Roman" w:hAnsi="Times New Roman" w:cs="Times New Roman"/>
        </w:rPr>
      </w:pPr>
    </w:p>
    <w:p w14:paraId="5FEDC45A" w14:textId="6A3A1208" w:rsidR="00A81116" w:rsidRPr="00F7295C" w:rsidRDefault="00A81116" w:rsidP="00A81116">
      <w:pPr>
        <w:pStyle w:val="Heading2"/>
        <w:jc w:val="center"/>
        <w:rPr>
          <w:color w:val="000000" w:themeColor="text1"/>
          <w:sz w:val="22"/>
          <w:szCs w:val="22"/>
          <w:u w:val="single"/>
        </w:rPr>
      </w:pPr>
      <w:bookmarkStart w:id="0" w:name="_mjps9r37yd8w" w:colFirst="0" w:colLast="0"/>
      <w:bookmarkEnd w:id="0"/>
      <w:r w:rsidRPr="00F7295C">
        <w:rPr>
          <w:color w:val="000000" w:themeColor="text1"/>
          <w:sz w:val="22"/>
          <w:szCs w:val="22"/>
          <w:u w:val="single"/>
        </w:rPr>
        <w:t xml:space="preserve">NCLAT </w:t>
      </w:r>
      <w:r w:rsidR="00F7295C" w:rsidRPr="00F7295C">
        <w:rPr>
          <w:color w:val="000000" w:themeColor="text1"/>
          <w:sz w:val="22"/>
          <w:szCs w:val="22"/>
          <w:u w:val="single"/>
        </w:rPr>
        <w:t xml:space="preserve">Judgments </w:t>
      </w:r>
    </w:p>
    <w:p w14:paraId="136D3743" w14:textId="77777777" w:rsidR="00A81116" w:rsidRDefault="00A81116">
      <w:pPr>
        <w:jc w:val="both"/>
        <w:rPr>
          <w:rFonts w:ascii="Times New Roman" w:eastAsia="Times New Roman" w:hAnsi="Times New Roman" w:cs="Times New Roman"/>
        </w:rPr>
      </w:pPr>
    </w:p>
    <w:p w14:paraId="4FCA5D57" w14:textId="77777777" w:rsidR="00EE2CB2" w:rsidRDefault="00EE2CB2">
      <w:pPr>
        <w:jc w:val="both"/>
        <w:rPr>
          <w:rFonts w:ascii="Times New Roman" w:eastAsia="Times New Roman" w:hAnsi="Times New Roman" w:cs="Times New Roman"/>
        </w:rPr>
      </w:pPr>
    </w:p>
    <w:p w14:paraId="216BB836" w14:textId="77777777" w:rsidR="00EE2CB2" w:rsidRDefault="00EE2CB2">
      <w:pPr>
        <w:jc w:val="both"/>
        <w:rPr>
          <w:rFonts w:ascii="Times New Roman" w:eastAsia="Times New Roman" w:hAnsi="Times New Roman" w:cs="Times New Roman"/>
        </w:rPr>
      </w:pPr>
    </w:p>
    <w:p w14:paraId="3C86AEC8" w14:textId="77777777" w:rsidR="00EE2CB2" w:rsidRDefault="00BD18D0">
      <w:pPr>
        <w:numPr>
          <w:ilvl w:val="0"/>
          <w:numId w:val="10"/>
        </w:numPr>
        <w:jc w:val="both"/>
        <w:rPr>
          <w:rFonts w:ascii="Times New Roman" w:eastAsia="Times New Roman" w:hAnsi="Times New Roman" w:cs="Times New Roman"/>
          <w:b/>
        </w:rPr>
      </w:pPr>
      <w:r>
        <w:rPr>
          <w:rFonts w:ascii="Times New Roman" w:eastAsia="Times New Roman" w:hAnsi="Times New Roman" w:cs="Times New Roman"/>
          <w:b/>
        </w:rPr>
        <w:t>Amazon has suffered a setback! The NCLAT affirmed the CCI's high penalty of Rs 200 crore levied on Amazon.</w:t>
      </w:r>
    </w:p>
    <w:p w14:paraId="15EC0D38" w14:textId="77777777" w:rsidR="00EE2CB2" w:rsidRDefault="00EE2CB2">
      <w:pPr>
        <w:jc w:val="both"/>
        <w:rPr>
          <w:rFonts w:ascii="Times New Roman" w:eastAsia="Times New Roman" w:hAnsi="Times New Roman" w:cs="Times New Roman"/>
        </w:rPr>
      </w:pPr>
    </w:p>
    <w:p w14:paraId="6EE15AD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While hearing an appeal in </w:t>
      </w:r>
      <w:r>
        <w:rPr>
          <w:rFonts w:ascii="Times New Roman" w:eastAsia="Times New Roman" w:hAnsi="Times New Roman" w:cs="Times New Roman"/>
          <w:i/>
        </w:rPr>
        <w:t xml:space="preserve">Amazon.com NV Investment Holdings LLC v Competition Commission of India &amp; </w:t>
      </w:r>
      <w:proofErr w:type="spellStart"/>
      <w:r>
        <w:rPr>
          <w:rFonts w:ascii="Times New Roman" w:eastAsia="Times New Roman" w:hAnsi="Times New Roman" w:cs="Times New Roman"/>
          <w:i/>
        </w:rPr>
        <w:t>Ors</w:t>
      </w:r>
      <w:proofErr w:type="spellEnd"/>
      <w:r>
        <w:rPr>
          <w:rFonts w:ascii="Times New Roman" w:eastAsia="Times New Roman" w:hAnsi="Times New Roman" w:cs="Times New Roman"/>
          <w:i/>
        </w:rPr>
        <w:t>.</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xml:space="preserve">, the National Company Law Appellate Tribunal (“NCLAT”), New Delhi Bench, comprised of Justice M. Venugopal (Judicial </w:t>
      </w:r>
      <w:r>
        <w:rPr>
          <w:rFonts w:ascii="Times New Roman" w:eastAsia="Times New Roman" w:hAnsi="Times New Roman" w:cs="Times New Roman"/>
        </w:rPr>
        <w:t xml:space="preserve">Member) and Shri Ashok Kumar Mishra (Technical Member), upheld the Competition Commission of India's (“CCI”) order dated 17.12.2021 in which Amazon was ordered to pay Rs. 200 crores penalty under Section 43A of Competition Act, 2002. The NCLAT has ordered </w:t>
      </w:r>
      <w:r>
        <w:rPr>
          <w:rFonts w:ascii="Times New Roman" w:eastAsia="Times New Roman" w:hAnsi="Times New Roman" w:cs="Times New Roman"/>
        </w:rPr>
        <w:t>Amazon to deposit the penalty and comply with the CCI judgement within 45 days. The Order was signed on June 13, 2022.</w:t>
      </w:r>
      <w:r>
        <w:rPr>
          <w:rFonts w:ascii="Times New Roman" w:eastAsia="Times New Roman" w:hAnsi="Times New Roman" w:cs="Times New Roman"/>
          <w:vertAlign w:val="superscript"/>
        </w:rPr>
        <w:footnoteReference w:id="2"/>
      </w:r>
    </w:p>
    <w:p w14:paraId="566757A1" w14:textId="77777777" w:rsidR="00EE2CB2" w:rsidRDefault="00EE2CB2">
      <w:pPr>
        <w:jc w:val="both"/>
        <w:rPr>
          <w:rFonts w:ascii="Times New Roman" w:eastAsia="Times New Roman" w:hAnsi="Times New Roman" w:cs="Times New Roman"/>
          <w:b/>
          <w:u w:val="single"/>
        </w:rPr>
      </w:pPr>
    </w:p>
    <w:p w14:paraId="55998DD5"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Start</w:t>
      </w:r>
    </w:p>
    <w:p w14:paraId="7EE3161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National Company Law Appellate Tribunal (NCLAT) on June 13 dismissed Amazon's appeal against an antitrust suspension of its </w:t>
      </w:r>
      <w:r>
        <w:rPr>
          <w:rFonts w:ascii="Times New Roman" w:eastAsia="Times New Roman" w:hAnsi="Times New Roman" w:cs="Times New Roman"/>
        </w:rPr>
        <w:t>investment transaction with Future Group, citing the retailer's failure to make full disclosures at the time of obtaining approval.</w:t>
      </w:r>
    </w:p>
    <w:p w14:paraId="68D472C2" w14:textId="77777777" w:rsidR="00EE2CB2" w:rsidRDefault="00EE2CB2">
      <w:pPr>
        <w:jc w:val="both"/>
        <w:rPr>
          <w:rFonts w:ascii="Times New Roman" w:eastAsia="Times New Roman" w:hAnsi="Times New Roman" w:cs="Times New Roman"/>
        </w:rPr>
      </w:pPr>
    </w:p>
    <w:p w14:paraId="3943720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lastRenderedPageBreak/>
        <w:t>NCLAT also upheld a ₹200-crore penalty imposed on Amazon by the Competition Commission of India (CCI) and asked the e-comme</w:t>
      </w:r>
      <w:r>
        <w:rPr>
          <w:rFonts w:ascii="Times New Roman" w:eastAsia="Times New Roman" w:hAnsi="Times New Roman" w:cs="Times New Roman"/>
        </w:rPr>
        <w:t>rce giant to deposit the same in 45 days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14:paraId="6B7AC33F" w14:textId="77777777" w:rsidR="00EE2CB2" w:rsidRDefault="00EE2CB2">
      <w:pPr>
        <w:jc w:val="both"/>
        <w:rPr>
          <w:rFonts w:ascii="Times New Roman" w:eastAsia="Times New Roman" w:hAnsi="Times New Roman" w:cs="Times New Roman"/>
        </w:rPr>
      </w:pPr>
    </w:p>
    <w:p w14:paraId="5FA12B0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It supported the CCI findings that Amazon didn't make full disclosures regarding the deal with Future Retail subsidiary — Future Coupons Pvt. Ltd. (FCPL).</w:t>
      </w:r>
    </w:p>
    <w:p w14:paraId="44FC1E48" w14:textId="77777777" w:rsidR="00EE2CB2" w:rsidRDefault="00EE2CB2">
      <w:pPr>
        <w:jc w:val="both"/>
        <w:rPr>
          <w:rFonts w:ascii="Times New Roman" w:eastAsia="Times New Roman" w:hAnsi="Times New Roman" w:cs="Times New Roman"/>
        </w:rPr>
      </w:pPr>
    </w:p>
    <w:p w14:paraId="1722843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However, NCLAT slightly modified the orders of CCI </w:t>
      </w:r>
      <w:r>
        <w:rPr>
          <w:rFonts w:ascii="Times New Roman" w:eastAsia="Times New Roman" w:hAnsi="Times New Roman" w:cs="Times New Roman"/>
        </w:rPr>
        <w:t>and said the penalty of Rs one crore each imposed was “on the higher side” and reduced it to Rs 50 lakh each.</w:t>
      </w:r>
    </w:p>
    <w:p w14:paraId="22377745" w14:textId="77777777" w:rsidR="00EE2CB2" w:rsidRDefault="00EE2CB2">
      <w:pPr>
        <w:jc w:val="both"/>
        <w:rPr>
          <w:rFonts w:ascii="Times New Roman" w:eastAsia="Times New Roman" w:hAnsi="Times New Roman" w:cs="Times New Roman"/>
        </w:rPr>
      </w:pPr>
    </w:p>
    <w:p w14:paraId="44E74F82"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“This appellate tribunal based on the relevant facts and circumstances of the case, mainly the availability of the competitions in the market and</w:t>
      </w:r>
      <w:r>
        <w:rPr>
          <w:rFonts w:ascii="Times New Roman" w:eastAsia="Times New Roman" w:hAnsi="Times New Roman" w:cs="Times New Roman"/>
        </w:rPr>
        <w:t xml:space="preserve"> financial health of the industry... imposes a penalty of Rs 50 lakh each as per sections 44 and 45 of the Competition Act 2002,” said NCLAT directing Amazon to pay Rs one crore within 45 days calculated from the date of passing of judgement.</w:t>
      </w:r>
    </w:p>
    <w:p w14:paraId="78E205F7" w14:textId="77777777" w:rsidR="00EE2CB2" w:rsidRDefault="00EE2CB2">
      <w:pPr>
        <w:jc w:val="both"/>
        <w:rPr>
          <w:rFonts w:ascii="Times New Roman" w:eastAsia="Times New Roman" w:hAnsi="Times New Roman" w:cs="Times New Roman"/>
        </w:rPr>
      </w:pPr>
    </w:p>
    <w:p w14:paraId="120BC979" w14:textId="77777777" w:rsidR="00EE2CB2" w:rsidRDefault="00BD18D0">
      <w:pPr>
        <w:jc w:val="both"/>
        <w:rPr>
          <w:rFonts w:ascii="Times New Roman" w:eastAsia="Times New Roman" w:hAnsi="Times New Roman" w:cs="Times New Roman"/>
          <w:color w:val="171617"/>
          <w:highlight w:val="white"/>
        </w:rPr>
      </w:pPr>
      <w:r>
        <w:rPr>
          <w:rFonts w:ascii="Times New Roman" w:eastAsia="Times New Roman" w:hAnsi="Times New Roman" w:cs="Times New Roman"/>
          <w:color w:val="171617"/>
          <w:highlight w:val="white"/>
        </w:rPr>
        <w:t>The Tribunal</w:t>
      </w:r>
      <w:r>
        <w:rPr>
          <w:rFonts w:ascii="Times New Roman" w:eastAsia="Times New Roman" w:hAnsi="Times New Roman" w:cs="Times New Roman"/>
          <w:color w:val="171617"/>
          <w:highlight w:val="white"/>
        </w:rPr>
        <w:t xml:space="preserve"> ruled that Amazon had not provided full, complete, fair, forthright, and frank disclosure of relevant materials, and had only provided limited details / disclosures, pertaining to its ‘acquiring strategic rights and interests’ over ‘FRL’, and executing ‘C</w:t>
      </w:r>
      <w:r>
        <w:rPr>
          <w:rFonts w:ascii="Times New Roman" w:eastAsia="Times New Roman" w:hAnsi="Times New Roman" w:cs="Times New Roman"/>
          <w:color w:val="171617"/>
          <w:highlight w:val="white"/>
        </w:rPr>
        <w:t>ommercial Contracts’ between itself and ‘FRL’ concerning the scope and purpose of 'Combination,' and that the penalty imposed was justified.</w:t>
      </w:r>
    </w:p>
    <w:p w14:paraId="693CDA6E" w14:textId="77777777" w:rsidR="00EE2CB2" w:rsidRDefault="00EE2CB2">
      <w:pPr>
        <w:jc w:val="both"/>
        <w:rPr>
          <w:rFonts w:ascii="Times New Roman" w:eastAsia="Times New Roman" w:hAnsi="Times New Roman" w:cs="Times New Roman"/>
          <w:color w:val="171617"/>
          <w:highlight w:val="white"/>
        </w:rPr>
      </w:pPr>
    </w:p>
    <w:p w14:paraId="5E94A5FF" w14:textId="77777777" w:rsidR="00EE2CB2" w:rsidRDefault="00BD18D0">
      <w:pPr>
        <w:spacing w:after="300"/>
        <w:jc w:val="both"/>
        <w:rPr>
          <w:rFonts w:ascii="Times New Roman" w:eastAsia="Times New Roman" w:hAnsi="Times New Roman" w:cs="Times New Roman"/>
        </w:rPr>
      </w:pPr>
      <w:r>
        <w:rPr>
          <w:rFonts w:ascii="Times New Roman" w:eastAsia="Times New Roman" w:hAnsi="Times New Roman" w:cs="Times New Roman"/>
        </w:rPr>
        <w:t xml:space="preserve">In December 2021, the Competition Commission of India (CCI) suspended the approval given by it in 2019, for Amazon's deal to acquire a 49 per cent stake in Future Coupons Pvt Ltd (FCPL). </w:t>
      </w:r>
    </w:p>
    <w:p w14:paraId="07B10108" w14:textId="77777777" w:rsidR="00EE2CB2" w:rsidRDefault="00BD18D0">
      <w:pPr>
        <w:numPr>
          <w:ilvl w:val="0"/>
          <w:numId w:val="10"/>
        </w:numPr>
        <w:jc w:val="both"/>
        <w:rPr>
          <w:rFonts w:ascii="Times New Roman" w:eastAsia="Times New Roman" w:hAnsi="Times New Roman" w:cs="Times New Roman"/>
          <w:b/>
        </w:rPr>
      </w:pPr>
      <w:r>
        <w:rPr>
          <w:rFonts w:ascii="Times New Roman" w:eastAsia="Times New Roman" w:hAnsi="Times New Roman" w:cs="Times New Roman"/>
          <w:b/>
        </w:rPr>
        <w:t xml:space="preserve"> Summary: The NCLT has the power to recall an order in which the rig</w:t>
      </w:r>
      <w:r>
        <w:rPr>
          <w:rFonts w:ascii="Times New Roman" w:eastAsia="Times New Roman" w:hAnsi="Times New Roman" w:cs="Times New Roman"/>
          <w:b/>
        </w:rPr>
        <w:t>ht to respond has been waived: NCLAT.</w:t>
      </w:r>
    </w:p>
    <w:p w14:paraId="2C8137C5"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4454C5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In the case of </w:t>
      </w:r>
      <w:proofErr w:type="spellStart"/>
      <w:r>
        <w:rPr>
          <w:rFonts w:ascii="Times New Roman" w:eastAsia="Times New Roman" w:hAnsi="Times New Roman" w:cs="Times New Roman"/>
          <w:i/>
        </w:rPr>
        <w:t>Printland</w:t>
      </w:r>
      <w:proofErr w:type="spellEnd"/>
      <w:r>
        <w:rPr>
          <w:rFonts w:ascii="Times New Roman" w:eastAsia="Times New Roman" w:hAnsi="Times New Roman" w:cs="Times New Roman"/>
          <w:i/>
        </w:rPr>
        <w:t xml:space="preserve"> Digital (India) Pvt. Ltd. vs. Nirmal Trading Company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the National Company Law Appellate Tribunal (NCLAT) bench comprising Justice Rakesh Kumar Jain (Judicial Member) and Dr. Alok Srivastav</w:t>
      </w:r>
      <w:r>
        <w:rPr>
          <w:rFonts w:ascii="Times New Roman" w:eastAsia="Times New Roman" w:hAnsi="Times New Roman" w:cs="Times New Roman"/>
        </w:rPr>
        <w:t>a (Technical Member) has ruled that the NCLT does not have jurisdiction to review a judgement after it has decided a significant issue, but it does have authority to recall an order in which the opportunity to respond has been forfeited.</w:t>
      </w:r>
    </w:p>
    <w:p w14:paraId="218DB1C5" w14:textId="77777777" w:rsidR="00EE2CB2" w:rsidRDefault="00EE2CB2">
      <w:pPr>
        <w:jc w:val="both"/>
        <w:rPr>
          <w:rFonts w:ascii="Times New Roman" w:eastAsia="Times New Roman" w:hAnsi="Times New Roman" w:cs="Times New Roman"/>
          <w:b/>
        </w:rPr>
      </w:pPr>
    </w:p>
    <w:p w14:paraId="53E98D3C"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Case Timeline</w:t>
      </w:r>
    </w:p>
    <w:p w14:paraId="41DC194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Corporate Debtor's right to file a reply was revoked by NCLT New Delhi in a judgement dated July 22, 2021. The appellant filed an application to set aside the ruling dated July 22, 2021, which terminated the Corporate Debtor's right to file a reply.</w:t>
      </w:r>
    </w:p>
    <w:p w14:paraId="33C1A004" w14:textId="77777777" w:rsidR="00EE2CB2" w:rsidRDefault="00EE2CB2">
      <w:pPr>
        <w:jc w:val="both"/>
        <w:rPr>
          <w:rFonts w:ascii="Times New Roman" w:eastAsia="Times New Roman" w:hAnsi="Times New Roman" w:cs="Times New Roman"/>
        </w:rPr>
      </w:pPr>
    </w:p>
    <w:p w14:paraId="26248548"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application was dismissed by the NCLT in a decision dated 10.03.2022 on the grounds that the tribunal lacked the authority to recall or review its own order, and that the Appellant had already been given ample opportunities to make a reply.</w:t>
      </w:r>
    </w:p>
    <w:p w14:paraId="6219EE1A" w14:textId="77777777" w:rsidR="00EE2CB2" w:rsidRDefault="00EE2CB2">
      <w:pPr>
        <w:jc w:val="both"/>
        <w:rPr>
          <w:rFonts w:ascii="Times New Roman" w:eastAsia="Times New Roman" w:hAnsi="Times New Roman" w:cs="Times New Roman"/>
        </w:rPr>
      </w:pPr>
    </w:p>
    <w:p w14:paraId="17D03836" w14:textId="77777777" w:rsidR="00EE2CB2" w:rsidRDefault="00EE2CB2">
      <w:pPr>
        <w:jc w:val="both"/>
        <w:rPr>
          <w:rFonts w:ascii="Times New Roman" w:eastAsia="Times New Roman" w:hAnsi="Times New Roman" w:cs="Times New Roman"/>
        </w:rPr>
      </w:pPr>
    </w:p>
    <w:p w14:paraId="2A091E26"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Issue Raised </w:t>
      </w:r>
    </w:p>
    <w:p w14:paraId="3AD669E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underlying legal issue in the appeal was thus whether the Adjudicating Authority had the competence to overturn its ruling closing the opportunity to file a Reply.</w:t>
      </w:r>
    </w:p>
    <w:p w14:paraId="4EAA85EF" w14:textId="77777777" w:rsidR="00EE2CB2" w:rsidRDefault="00EE2CB2">
      <w:pPr>
        <w:jc w:val="both"/>
        <w:rPr>
          <w:rFonts w:ascii="Times New Roman" w:eastAsia="Times New Roman" w:hAnsi="Times New Roman" w:cs="Times New Roman"/>
          <w:b/>
        </w:rPr>
      </w:pPr>
    </w:p>
    <w:p w14:paraId="7EE0FDAF"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Appellant's Arguments</w:t>
      </w:r>
    </w:p>
    <w:p w14:paraId="187116F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On behalf of the Appellant, it was argued that the tribunal had </w:t>
      </w:r>
      <w:r>
        <w:rPr>
          <w:rFonts w:ascii="Times New Roman" w:eastAsia="Times New Roman" w:hAnsi="Times New Roman" w:cs="Times New Roman"/>
        </w:rPr>
        <w:t>jurisdiction to recall its order under Rule 11 of the NCLT Rules, 2016, and that because the panel had not reached a decision on the merits, it had the authority to do so.</w:t>
      </w:r>
    </w:p>
    <w:p w14:paraId="4589D279" w14:textId="77777777" w:rsidR="00EE2CB2" w:rsidRDefault="00EE2CB2">
      <w:pPr>
        <w:jc w:val="both"/>
        <w:rPr>
          <w:rFonts w:ascii="Times New Roman" w:eastAsia="Times New Roman" w:hAnsi="Times New Roman" w:cs="Times New Roman"/>
          <w:b/>
        </w:rPr>
      </w:pPr>
    </w:p>
    <w:p w14:paraId="535C4B44"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Respondent's Arguments</w:t>
      </w:r>
    </w:p>
    <w:p w14:paraId="16C04B58"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Respondent argued that the Appellant's actions and condu</w:t>
      </w:r>
      <w:r>
        <w:rPr>
          <w:rFonts w:ascii="Times New Roman" w:eastAsia="Times New Roman" w:hAnsi="Times New Roman" w:cs="Times New Roman"/>
        </w:rPr>
        <w:t>ct are such that no redress is warranted because the Appellant was given many opportunities to file a reply, which he did not take advantage of.</w:t>
      </w:r>
    </w:p>
    <w:p w14:paraId="6A172810" w14:textId="77777777" w:rsidR="00EE2CB2" w:rsidRDefault="00EE2CB2">
      <w:pPr>
        <w:jc w:val="both"/>
        <w:rPr>
          <w:rFonts w:ascii="Times New Roman" w:eastAsia="Times New Roman" w:hAnsi="Times New Roman" w:cs="Times New Roman"/>
          <w:b/>
        </w:rPr>
      </w:pPr>
    </w:p>
    <w:p w14:paraId="1568D764"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Judgment</w:t>
      </w:r>
    </w:p>
    <w:p w14:paraId="721BC82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After hearing both sides, the Court concluded that there is a distinction between recalling an </w:t>
      </w:r>
      <w:r>
        <w:rPr>
          <w:rFonts w:ascii="Times New Roman" w:eastAsia="Times New Roman" w:hAnsi="Times New Roman" w:cs="Times New Roman"/>
        </w:rPr>
        <w:t>order and reviewing the merits of a matter decided by the Adjudicating Authority.</w:t>
      </w:r>
    </w:p>
    <w:p w14:paraId="2EDB7709" w14:textId="77777777" w:rsidR="00EE2CB2" w:rsidRDefault="00EE2CB2">
      <w:pPr>
        <w:jc w:val="both"/>
        <w:rPr>
          <w:rFonts w:ascii="Times New Roman" w:eastAsia="Times New Roman" w:hAnsi="Times New Roman" w:cs="Times New Roman"/>
        </w:rPr>
      </w:pPr>
    </w:p>
    <w:p w14:paraId="34726485" w14:textId="77777777" w:rsidR="00EE2CB2" w:rsidRDefault="00BD18D0">
      <w:pPr>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"No doubt that the Adjudicating Authority has no jurisdiction to review its order after deciding a substantial </w:t>
      </w:r>
      <w:proofErr w:type="gramStart"/>
      <w:r>
        <w:rPr>
          <w:rFonts w:ascii="Times New Roman" w:eastAsia="Times New Roman" w:hAnsi="Times New Roman" w:cs="Times New Roman"/>
          <w:i/>
          <w:highlight w:val="white"/>
        </w:rPr>
        <w:t>issue</w:t>
      </w:r>
      <w:proofErr w:type="gramEnd"/>
      <w:r>
        <w:rPr>
          <w:rFonts w:ascii="Times New Roman" w:eastAsia="Times New Roman" w:hAnsi="Times New Roman" w:cs="Times New Roman"/>
          <w:i/>
          <w:highlight w:val="white"/>
        </w:rPr>
        <w:t xml:space="preserve"> but it has the jurisdiction to recall the order of the k</w:t>
      </w:r>
      <w:r>
        <w:rPr>
          <w:rFonts w:ascii="Times New Roman" w:eastAsia="Times New Roman" w:hAnsi="Times New Roman" w:cs="Times New Roman"/>
          <w:i/>
          <w:highlight w:val="white"/>
        </w:rPr>
        <w:t>ind in dispute i.e. where the right to Reply was closed by an order on the ground that the opportunities granted were not availed."</w:t>
      </w:r>
    </w:p>
    <w:p w14:paraId="23870A66" w14:textId="77777777" w:rsidR="00EE2CB2" w:rsidRDefault="00EE2CB2">
      <w:pPr>
        <w:jc w:val="both"/>
        <w:rPr>
          <w:rFonts w:ascii="Times New Roman" w:eastAsia="Times New Roman" w:hAnsi="Times New Roman" w:cs="Times New Roman"/>
          <w:i/>
          <w:highlight w:val="white"/>
        </w:rPr>
      </w:pPr>
    </w:p>
    <w:p w14:paraId="0EA6BADB"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Tribunal cited the decision of </w:t>
      </w:r>
      <w:r>
        <w:rPr>
          <w:rFonts w:ascii="Times New Roman" w:eastAsia="Times New Roman" w:hAnsi="Times New Roman" w:cs="Times New Roman"/>
          <w:i/>
          <w:highlight w:val="white"/>
        </w:rPr>
        <w:t xml:space="preserve">Grand Arch Resident Welfare Association Vs. </w:t>
      </w:r>
      <w:proofErr w:type="spellStart"/>
      <w:r>
        <w:rPr>
          <w:rFonts w:ascii="Times New Roman" w:eastAsia="Times New Roman" w:hAnsi="Times New Roman" w:cs="Times New Roman"/>
          <w:i/>
          <w:highlight w:val="white"/>
        </w:rPr>
        <w:t>Ireo</w:t>
      </w:r>
      <w:proofErr w:type="spellEnd"/>
      <w:r>
        <w:rPr>
          <w:rFonts w:ascii="Times New Roman" w:eastAsia="Times New Roman" w:hAnsi="Times New Roman" w:cs="Times New Roman"/>
          <w:i/>
          <w:highlight w:val="white"/>
        </w:rPr>
        <w:t xml:space="preserve"> Pvt. Ltd</w:t>
      </w:r>
      <w:r>
        <w:rPr>
          <w:rFonts w:ascii="Times New Roman" w:eastAsia="Times New Roman" w:hAnsi="Times New Roman" w:cs="Times New Roman"/>
          <w:i/>
          <w:highlight w:val="white"/>
          <w:vertAlign w:val="superscript"/>
        </w:rPr>
        <w:footnoteReference w:id="5"/>
      </w:r>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in which it was held that if the Adjudicating Authority has adjudicated on the merits of the issues, it does not have the jurisdiction to review its order, but in the case of a dispute over the right to file a reply that has been resolved by an order, it </w:t>
      </w:r>
      <w:r>
        <w:rPr>
          <w:rFonts w:ascii="Times New Roman" w:eastAsia="Times New Roman" w:hAnsi="Times New Roman" w:cs="Times New Roman"/>
          <w:highlight w:val="white"/>
        </w:rPr>
        <w:t>does have the jurisdiction to recall it under Rule 11 of the NCLT Rules, 2016.</w:t>
      </w:r>
    </w:p>
    <w:p w14:paraId="2D5B2832" w14:textId="77777777" w:rsidR="00EE2CB2" w:rsidRDefault="00EE2CB2">
      <w:pPr>
        <w:jc w:val="both"/>
        <w:rPr>
          <w:rFonts w:ascii="Times New Roman" w:eastAsia="Times New Roman" w:hAnsi="Times New Roman" w:cs="Times New Roman"/>
          <w:b/>
        </w:rPr>
      </w:pPr>
    </w:p>
    <w:p w14:paraId="1D21C854"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Analysis </w:t>
      </w:r>
    </w:p>
    <w:p w14:paraId="340F00E7"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right to recall the order of closing the right to reply has been a bone of contention, sometimes affirmed by Courts and otherwise negated,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like in the recent </w:t>
      </w:r>
      <w:r>
        <w:rPr>
          <w:rFonts w:ascii="Times New Roman" w:eastAsia="Times New Roman" w:hAnsi="Times New Roman" w:cs="Times New Roman"/>
        </w:rPr>
        <w:t xml:space="preserve">case of </w:t>
      </w:r>
      <w:r>
        <w:rPr>
          <w:rFonts w:ascii="Times New Roman" w:eastAsia="Times New Roman" w:hAnsi="Times New Roman" w:cs="Times New Roman"/>
          <w:i/>
        </w:rPr>
        <w:t>Agarwal Coal Corporation (P.) Ltd. v. Sun Paper Mill Ltd</w:t>
      </w:r>
      <w:r>
        <w:rPr>
          <w:rFonts w:ascii="Times New Roman" w:eastAsia="Times New Roman" w:hAnsi="Times New Roman" w:cs="Times New Roman"/>
          <w:i/>
          <w:vertAlign w:val="superscript"/>
        </w:rPr>
        <w:footnoteReference w:id="6"/>
      </w:r>
      <w:r>
        <w:rPr>
          <w:rFonts w:ascii="Times New Roman" w:eastAsia="Times New Roman" w:hAnsi="Times New Roman" w:cs="Times New Roman"/>
          <w:i/>
        </w:rPr>
        <w:t>.</w:t>
      </w:r>
      <w:r>
        <w:rPr>
          <w:rFonts w:ascii="Times New Roman" w:eastAsia="Times New Roman" w:hAnsi="Times New Roman" w:cs="Times New Roman"/>
        </w:rPr>
        <w:t xml:space="preserve"> This judgement seeks to clarify that the power to roll back such an order is indeed in the hands of the Adjudicating Authority. </w:t>
      </w:r>
    </w:p>
    <w:p w14:paraId="3EA27536" w14:textId="77777777" w:rsidR="00EE2CB2" w:rsidRDefault="00EE2CB2">
      <w:pPr>
        <w:jc w:val="both"/>
        <w:rPr>
          <w:rFonts w:ascii="Times New Roman" w:eastAsia="Times New Roman" w:hAnsi="Times New Roman" w:cs="Times New Roman"/>
        </w:rPr>
      </w:pPr>
    </w:p>
    <w:p w14:paraId="7977638B" w14:textId="77777777" w:rsidR="00EE2CB2" w:rsidRDefault="00EE2CB2">
      <w:pPr>
        <w:pStyle w:val="Heading2"/>
        <w:rPr>
          <w:sz w:val="22"/>
          <w:szCs w:val="22"/>
        </w:rPr>
      </w:pPr>
      <w:bookmarkStart w:id="1" w:name="_uuisg494imc3" w:colFirst="0" w:colLast="0"/>
      <w:bookmarkEnd w:id="1"/>
    </w:p>
    <w:p w14:paraId="7432BDE9" w14:textId="77777777" w:rsidR="00EE2CB2" w:rsidRDefault="00EE2CB2"/>
    <w:p w14:paraId="59AC7B92" w14:textId="77777777" w:rsidR="00EE2CB2" w:rsidRPr="00FE426C" w:rsidRDefault="00BD18D0">
      <w:pPr>
        <w:pStyle w:val="Heading2"/>
        <w:jc w:val="center"/>
        <w:rPr>
          <w:color w:val="FF0000"/>
          <w:sz w:val="22"/>
          <w:szCs w:val="22"/>
          <w:u w:val="single"/>
        </w:rPr>
      </w:pPr>
      <w:bookmarkStart w:id="2" w:name="_sipqjt5seryl" w:colFirst="0" w:colLast="0"/>
      <w:bookmarkEnd w:id="2"/>
      <w:r w:rsidRPr="00FE426C">
        <w:rPr>
          <w:color w:val="FF0000"/>
          <w:sz w:val="22"/>
          <w:szCs w:val="22"/>
          <w:u w:val="single"/>
        </w:rPr>
        <w:lastRenderedPageBreak/>
        <w:t>NCLT Judgements</w:t>
      </w:r>
    </w:p>
    <w:p w14:paraId="490D677B" w14:textId="77777777" w:rsidR="00EE2CB2" w:rsidRDefault="00EE2CB2">
      <w:pPr>
        <w:jc w:val="both"/>
        <w:rPr>
          <w:rFonts w:ascii="Times New Roman" w:eastAsia="Times New Roman" w:hAnsi="Times New Roman" w:cs="Times New Roman"/>
          <w:b/>
          <w:u w:val="single"/>
        </w:rPr>
      </w:pPr>
    </w:p>
    <w:p w14:paraId="25110E82" w14:textId="1EC0C2C1" w:rsidR="00EE2CB2" w:rsidRPr="00CE1504" w:rsidRDefault="00BD18D0" w:rsidP="00CE1504">
      <w:pPr>
        <w:numPr>
          <w:ilvl w:val="0"/>
          <w:numId w:val="7"/>
        </w:numPr>
        <w:jc w:val="both"/>
        <w:rPr>
          <w:rFonts w:ascii="Times New Roman" w:eastAsia="Times New Roman" w:hAnsi="Times New Roman" w:cs="Times New Roman"/>
          <w:b/>
          <w:bCs/>
        </w:rPr>
      </w:pPr>
      <w:r w:rsidRPr="00CE1504">
        <w:rPr>
          <w:rFonts w:ascii="Times New Roman" w:eastAsia="Times New Roman" w:hAnsi="Times New Roman" w:cs="Times New Roman"/>
          <w:b/>
          <w:bCs/>
        </w:rPr>
        <w:t>CoC’s commercial wisdom cannot be disre</w:t>
      </w:r>
      <w:r w:rsidRPr="00CE1504">
        <w:rPr>
          <w:rFonts w:ascii="Times New Roman" w:eastAsia="Times New Roman" w:hAnsi="Times New Roman" w:cs="Times New Roman"/>
          <w:b/>
          <w:bCs/>
        </w:rPr>
        <w:t xml:space="preserve">garded arbitrarily by NCLT or its court of appeal in deciding the claim for scrapping of CIRP. </w:t>
      </w:r>
    </w:p>
    <w:p w14:paraId="1A665A95" w14:textId="77777777" w:rsidR="00EE2CB2" w:rsidRDefault="00EE2CB2">
      <w:pPr>
        <w:jc w:val="both"/>
        <w:rPr>
          <w:rFonts w:ascii="Times New Roman" w:eastAsia="Times New Roman" w:hAnsi="Times New Roman" w:cs="Times New Roman"/>
        </w:rPr>
      </w:pPr>
    </w:p>
    <w:p w14:paraId="63ADD94C"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1F762A47"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340AE5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In the landmark case of </w:t>
      </w:r>
      <w:proofErr w:type="spellStart"/>
      <w:r>
        <w:rPr>
          <w:rFonts w:ascii="Times New Roman" w:eastAsia="Times New Roman" w:hAnsi="Times New Roman" w:cs="Times New Roman"/>
          <w:i/>
        </w:rPr>
        <w:t>Vallal</w:t>
      </w:r>
      <w:proofErr w:type="spellEnd"/>
      <w:r>
        <w:rPr>
          <w:rFonts w:ascii="Times New Roman" w:eastAsia="Times New Roman" w:hAnsi="Times New Roman" w:cs="Times New Roman"/>
          <w:i/>
        </w:rPr>
        <w:t xml:space="preserve"> RCK Vs. M/s Siva Industries and Holdings Limited and </w:t>
      </w:r>
      <w:proofErr w:type="spellStart"/>
      <w:r>
        <w:rPr>
          <w:rFonts w:ascii="Times New Roman" w:eastAsia="Times New Roman" w:hAnsi="Times New Roman" w:cs="Times New Roman"/>
          <w:i/>
        </w:rPr>
        <w:t>Ors</w:t>
      </w:r>
      <w:proofErr w:type="spellEnd"/>
      <w:r>
        <w:rPr>
          <w:rFonts w:ascii="Times New Roman" w:eastAsia="Times New Roman" w:hAnsi="Times New Roman" w:cs="Times New Roman"/>
          <w:i/>
        </w:rPr>
        <w: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 Apex Court established that the </w:t>
      </w:r>
      <w:r>
        <w:rPr>
          <w:rFonts w:ascii="Times New Roman" w:eastAsia="Times New Roman" w:hAnsi="Times New Roman" w:cs="Times New Roman"/>
        </w:rPr>
        <w:t>Committee of Creditors’ (CoC) wisdom, with respect to deciding to withdraw CIRP proceedings, cannot be questioned by the NCLT or its appellate court.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This decision gives due weightage to the decisions of the stakeholders.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p w14:paraId="336C7966" w14:textId="77777777" w:rsidR="00EE2CB2" w:rsidRDefault="00EE2CB2">
      <w:pPr>
        <w:jc w:val="both"/>
        <w:rPr>
          <w:rFonts w:ascii="Times New Roman" w:eastAsia="Times New Roman" w:hAnsi="Times New Roman" w:cs="Times New Roman"/>
        </w:rPr>
      </w:pPr>
    </w:p>
    <w:p w14:paraId="637A1053"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Facts </w:t>
      </w:r>
    </w:p>
    <w:p w14:paraId="5CD12AEC" w14:textId="77777777" w:rsidR="00EE2CB2" w:rsidRDefault="00EE2CB2">
      <w:pPr>
        <w:jc w:val="both"/>
        <w:rPr>
          <w:rFonts w:ascii="Times New Roman" w:eastAsia="Times New Roman" w:hAnsi="Times New Roman" w:cs="Times New Roman"/>
          <w:b/>
        </w:rPr>
      </w:pPr>
    </w:p>
    <w:p w14:paraId="5F6899B7" w14:textId="77777777" w:rsidR="00EE2CB2" w:rsidRDefault="00BD18D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An </w:t>
      </w:r>
      <w:r>
        <w:rPr>
          <w:rFonts w:ascii="Times New Roman" w:eastAsia="Times New Roman" w:hAnsi="Times New Roman" w:cs="Times New Roman"/>
        </w:rPr>
        <w:t>application under Section 7 of the IBC was filed by IDBI Bank Limited to commence the Corporate Insolvency Resolution Process (CIRP) against the Corporate Debtor (CD</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M/s Siva Industries and Holdings Limited.</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p>
    <w:p w14:paraId="4ADDF698" w14:textId="77777777" w:rsidR="00EE2CB2" w:rsidRDefault="00BD18D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Resolution Professional (RP) presented</w:t>
      </w:r>
      <w:r>
        <w:rPr>
          <w:rFonts w:ascii="Times New Roman" w:eastAsia="Times New Roman" w:hAnsi="Times New Roman" w:cs="Times New Roman"/>
        </w:rPr>
        <w:t xml:space="preserve"> a resolution plan before the CoC which failed to cross the threshold of 66% votes. The RP then submitted the application for initiating liquidation. </w:t>
      </w:r>
    </w:p>
    <w:p w14:paraId="4049FB63" w14:textId="77777777" w:rsidR="00EE2CB2" w:rsidRDefault="00BD18D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Suggesting a one-time settlement scheme, Mr. </w:t>
      </w:r>
      <w:proofErr w:type="spellStart"/>
      <w:r>
        <w:rPr>
          <w:rFonts w:ascii="Times New Roman" w:eastAsia="Times New Roman" w:hAnsi="Times New Roman" w:cs="Times New Roman"/>
        </w:rPr>
        <w:t>Vallal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Rck</w:t>
      </w:r>
      <w:proofErr w:type="spellEnd"/>
      <w:r>
        <w:rPr>
          <w:rFonts w:ascii="Times New Roman" w:eastAsia="Times New Roman" w:hAnsi="Times New Roman" w:cs="Times New Roman"/>
        </w:rPr>
        <w:t>, the Promotor of the CD brought forth a settlemen</w:t>
      </w:r>
      <w:r>
        <w:rPr>
          <w:rFonts w:ascii="Times New Roman" w:eastAsia="Times New Roman" w:hAnsi="Times New Roman" w:cs="Times New Roman"/>
        </w:rPr>
        <w:t>t application under Section 60(5) of IBC.</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p>
    <w:p w14:paraId="713DDA75" w14:textId="77777777" w:rsidR="00EE2CB2" w:rsidRDefault="00BD18D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final proposal was presented and deliberated upon by the CoC which consequently gave their ‘go-ahead’ on 01.04.2021.</w:t>
      </w:r>
    </w:p>
    <w:p w14:paraId="6CF29E02" w14:textId="77777777" w:rsidR="00EE2CB2" w:rsidRDefault="00BD18D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An application for the withdrawal of CIRP was registered. NCLT rejected the application on</w:t>
      </w:r>
      <w:r>
        <w:rPr>
          <w:rFonts w:ascii="Times New Roman" w:eastAsia="Times New Roman" w:hAnsi="Times New Roman" w:cs="Times New Roman"/>
        </w:rPr>
        <w:t xml:space="preserve"> grounds that Settlement Plans were only Business Restructuring Plans and initiated the liquidation process. </w:t>
      </w:r>
    </w:p>
    <w:p w14:paraId="32A494F5" w14:textId="77777777" w:rsidR="00EE2CB2" w:rsidRDefault="00EE2CB2">
      <w:pPr>
        <w:jc w:val="both"/>
        <w:rPr>
          <w:rFonts w:ascii="Times New Roman" w:eastAsia="Times New Roman" w:hAnsi="Times New Roman" w:cs="Times New Roman"/>
          <w:b/>
        </w:rPr>
      </w:pPr>
    </w:p>
    <w:p w14:paraId="6EF359EF"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What was the issue? </w:t>
      </w:r>
    </w:p>
    <w:p w14:paraId="08CE2B5A" w14:textId="77777777" w:rsidR="00EE2CB2" w:rsidRDefault="00EE2CB2">
      <w:pPr>
        <w:jc w:val="both"/>
        <w:rPr>
          <w:rFonts w:ascii="Times New Roman" w:eastAsia="Times New Roman" w:hAnsi="Times New Roman" w:cs="Times New Roman"/>
          <w:b/>
        </w:rPr>
      </w:pPr>
    </w:p>
    <w:p w14:paraId="6861C32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Can an adjudicating authority or an appellate authority disregard the commercial wisdom of creditors in withdrawing CIRP pr</w:t>
      </w:r>
      <w:r>
        <w:rPr>
          <w:rFonts w:ascii="Times New Roman" w:eastAsia="Times New Roman" w:hAnsi="Times New Roman" w:cs="Times New Roman"/>
        </w:rPr>
        <w:t xml:space="preserve">oceedings? This question was raised in the Supreme Court after the appeal against the NCLT order was dismissed by NCLAT. </w:t>
      </w:r>
    </w:p>
    <w:p w14:paraId="0989B15A" w14:textId="77777777" w:rsidR="00EE2CB2" w:rsidRDefault="00EE2CB2">
      <w:pPr>
        <w:jc w:val="both"/>
        <w:rPr>
          <w:rFonts w:ascii="Times New Roman" w:eastAsia="Times New Roman" w:hAnsi="Times New Roman" w:cs="Times New Roman"/>
        </w:rPr>
      </w:pPr>
    </w:p>
    <w:p w14:paraId="5BCED6C6" w14:textId="77777777" w:rsidR="00CE1504" w:rsidRDefault="00CE1504">
      <w:pPr>
        <w:jc w:val="both"/>
        <w:rPr>
          <w:rFonts w:ascii="Times New Roman" w:eastAsia="Times New Roman" w:hAnsi="Times New Roman" w:cs="Times New Roman"/>
          <w:b/>
        </w:rPr>
      </w:pPr>
    </w:p>
    <w:p w14:paraId="40A7183C" w14:textId="77777777" w:rsidR="00CE1504" w:rsidRDefault="00CE1504">
      <w:pPr>
        <w:jc w:val="both"/>
        <w:rPr>
          <w:rFonts w:ascii="Times New Roman" w:eastAsia="Times New Roman" w:hAnsi="Times New Roman" w:cs="Times New Roman"/>
          <w:b/>
        </w:rPr>
      </w:pPr>
    </w:p>
    <w:p w14:paraId="3A077972" w14:textId="77777777" w:rsidR="00CE1504" w:rsidRDefault="00CE1504">
      <w:pPr>
        <w:jc w:val="both"/>
        <w:rPr>
          <w:rFonts w:ascii="Times New Roman" w:eastAsia="Times New Roman" w:hAnsi="Times New Roman" w:cs="Times New Roman"/>
          <w:b/>
        </w:rPr>
      </w:pPr>
    </w:p>
    <w:p w14:paraId="026583EB" w14:textId="65599DCC"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Contentions of the appellant </w:t>
      </w:r>
    </w:p>
    <w:p w14:paraId="0B828705" w14:textId="77777777" w:rsidR="00EE2CB2" w:rsidRDefault="00EE2CB2">
      <w:pPr>
        <w:jc w:val="both"/>
        <w:rPr>
          <w:rFonts w:ascii="Times New Roman" w:eastAsia="Times New Roman" w:hAnsi="Times New Roman" w:cs="Times New Roman"/>
          <w:b/>
        </w:rPr>
      </w:pPr>
    </w:p>
    <w:p w14:paraId="29828A9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Senior Advocate Abhishek Manu </w:t>
      </w:r>
      <w:proofErr w:type="spellStart"/>
      <w:r>
        <w:rPr>
          <w:rFonts w:ascii="Times New Roman" w:eastAsia="Times New Roman" w:hAnsi="Times New Roman" w:cs="Times New Roman"/>
        </w:rPr>
        <w:t>Singhvi</w:t>
      </w:r>
      <w:proofErr w:type="spellEnd"/>
      <w:r>
        <w:rPr>
          <w:rFonts w:ascii="Times New Roman" w:eastAsia="Times New Roman" w:hAnsi="Times New Roman" w:cs="Times New Roman"/>
        </w:rPr>
        <w:t xml:space="preserve"> contended that neither NCLT nor its appellate tribunal have t</w:t>
      </w:r>
      <w:r>
        <w:rPr>
          <w:rFonts w:ascii="Times New Roman" w:eastAsia="Times New Roman" w:hAnsi="Times New Roman" w:cs="Times New Roman"/>
        </w:rPr>
        <w:t xml:space="preserve">he power to sit in an appeal over the commercial wisdom of CoC; Creditors had accepted the Settlement Plan by 94.32% voting share. He asserted </w:t>
      </w:r>
      <w:proofErr w:type="gramStart"/>
      <w:r>
        <w:rPr>
          <w:rFonts w:ascii="Times New Roman" w:eastAsia="Times New Roman" w:hAnsi="Times New Roman" w:cs="Times New Roman"/>
        </w:rPr>
        <w:t>that  goal</w:t>
      </w:r>
      <w:proofErr w:type="gramEnd"/>
      <w:r>
        <w:rPr>
          <w:rFonts w:ascii="Times New Roman" w:eastAsia="Times New Roman" w:hAnsi="Times New Roman" w:cs="Times New Roman"/>
        </w:rPr>
        <w:t xml:space="preserve"> of the IBC is allowing the CD to “continue as an on­going concern and at the same time, paying the due</w:t>
      </w:r>
      <w:r>
        <w:rPr>
          <w:rFonts w:ascii="Times New Roman" w:eastAsia="Times New Roman" w:hAnsi="Times New Roman" w:cs="Times New Roman"/>
        </w:rPr>
        <w:t>s of the creditors to the maximum”.</w:t>
      </w:r>
      <w:r>
        <w:rPr>
          <w:rFonts w:ascii="Times New Roman" w:eastAsia="Times New Roman" w:hAnsi="Times New Roman" w:cs="Times New Roman"/>
          <w:vertAlign w:val="superscript"/>
        </w:rPr>
        <w:footnoteReference w:id="12"/>
      </w:r>
    </w:p>
    <w:p w14:paraId="100B56B5" w14:textId="77777777" w:rsidR="00EE2CB2" w:rsidRDefault="00EE2CB2">
      <w:pPr>
        <w:jc w:val="both"/>
        <w:rPr>
          <w:rFonts w:ascii="Times New Roman" w:eastAsia="Times New Roman" w:hAnsi="Times New Roman" w:cs="Times New Roman"/>
        </w:rPr>
      </w:pPr>
    </w:p>
    <w:p w14:paraId="1E0A0727"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Judgement</w:t>
      </w:r>
    </w:p>
    <w:p w14:paraId="01C13781" w14:textId="77777777" w:rsidR="00EE2CB2" w:rsidRDefault="00EE2CB2">
      <w:pPr>
        <w:jc w:val="both"/>
        <w:rPr>
          <w:rFonts w:ascii="Times New Roman" w:eastAsia="Times New Roman" w:hAnsi="Times New Roman" w:cs="Times New Roman"/>
          <w:b/>
        </w:rPr>
      </w:pPr>
    </w:p>
    <w:p w14:paraId="6C7B00E7"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Section 12A of IBC, dealing with the withdrawal of applications based itself on the Insolvency Law Committee’s recommendations, considering an exit valid if CoC approves it by 90% voting share. The validity</w:t>
      </w:r>
      <w:r>
        <w:rPr>
          <w:rFonts w:ascii="Times New Roman" w:eastAsia="Times New Roman" w:hAnsi="Times New Roman" w:cs="Times New Roman"/>
        </w:rPr>
        <w:t xml:space="preserve"> of this provision was upheld in the case of </w:t>
      </w:r>
      <w:r>
        <w:rPr>
          <w:rFonts w:ascii="Times New Roman" w:eastAsia="Times New Roman" w:hAnsi="Times New Roman" w:cs="Times New Roman"/>
          <w:i/>
        </w:rPr>
        <w:t xml:space="preserve">Swiss Ribbons Private Limited </w:t>
      </w:r>
      <w:proofErr w:type="gramStart"/>
      <w:r>
        <w:rPr>
          <w:rFonts w:ascii="Times New Roman" w:eastAsia="Times New Roman" w:hAnsi="Times New Roman" w:cs="Times New Roman"/>
          <w:i/>
        </w:rPr>
        <w:t>And</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Anr</w:t>
      </w:r>
      <w:proofErr w:type="spellEnd"/>
      <w:r>
        <w:rPr>
          <w:rFonts w:ascii="Times New Roman" w:eastAsia="Times New Roman" w:hAnsi="Times New Roman" w:cs="Times New Roman"/>
          <w:i/>
        </w:rPr>
        <w:t xml:space="preserve">. v. Union of India And </w:t>
      </w:r>
      <w:proofErr w:type="spellStart"/>
      <w:r>
        <w:rPr>
          <w:rFonts w:ascii="Times New Roman" w:eastAsia="Times New Roman" w:hAnsi="Times New Roman" w:cs="Times New Roman"/>
          <w:i/>
        </w:rPr>
        <w:t>Ors</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where the Supreme </w:t>
      </w:r>
      <w:proofErr w:type="gramStart"/>
      <w:r>
        <w:rPr>
          <w:rFonts w:ascii="Times New Roman" w:eastAsia="Times New Roman" w:hAnsi="Times New Roman" w:cs="Times New Roman"/>
        </w:rPr>
        <w:t>Court  laid</w:t>
      </w:r>
      <w:proofErr w:type="gramEnd"/>
      <w:r>
        <w:rPr>
          <w:rFonts w:ascii="Times New Roman" w:eastAsia="Times New Roman" w:hAnsi="Times New Roman" w:cs="Times New Roman"/>
        </w:rPr>
        <w:t xml:space="preserve"> down the requirement being that if more than 90% of the creditors, after due deliberations, permit the settlement</w:t>
      </w:r>
      <w:r>
        <w:rPr>
          <w:rFonts w:ascii="Times New Roman" w:eastAsia="Times New Roman" w:hAnsi="Times New Roman" w:cs="Times New Roman"/>
        </w:rPr>
        <w:t xml:space="preserve"> plan, then the withdrawal of CIRP could not be questioned. Interference could only be based on the decision of CoC being capricious, arbitrary, irrational and that which dehors the provisions of law. </w:t>
      </w:r>
    </w:p>
    <w:p w14:paraId="45DE867C" w14:textId="77777777" w:rsidR="00EE2CB2" w:rsidRDefault="00EE2CB2">
      <w:pPr>
        <w:jc w:val="both"/>
        <w:rPr>
          <w:rFonts w:ascii="Times New Roman" w:eastAsia="Times New Roman" w:hAnsi="Times New Roman" w:cs="Times New Roman"/>
        </w:rPr>
      </w:pPr>
    </w:p>
    <w:p w14:paraId="04DA0CD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bench of Justice B.R. </w:t>
      </w:r>
      <w:proofErr w:type="spellStart"/>
      <w:r>
        <w:rPr>
          <w:rFonts w:ascii="Times New Roman" w:eastAsia="Times New Roman" w:hAnsi="Times New Roman" w:cs="Times New Roman"/>
        </w:rPr>
        <w:t>Gavai</w:t>
      </w:r>
      <w:proofErr w:type="spellEnd"/>
      <w:r>
        <w:rPr>
          <w:rFonts w:ascii="Times New Roman" w:eastAsia="Times New Roman" w:hAnsi="Times New Roman" w:cs="Times New Roman"/>
        </w:rPr>
        <w:t xml:space="preserve"> and Justice </w:t>
      </w:r>
      <w:proofErr w:type="spellStart"/>
      <w:r>
        <w:rPr>
          <w:rFonts w:ascii="Times New Roman" w:eastAsia="Times New Roman" w:hAnsi="Times New Roman" w:cs="Times New Roman"/>
        </w:rPr>
        <w:t>Hima</w:t>
      </w:r>
      <w:proofErr w:type="spellEnd"/>
      <w:r>
        <w:rPr>
          <w:rFonts w:ascii="Times New Roman" w:eastAsia="Times New Roman" w:hAnsi="Times New Roman" w:cs="Times New Roman"/>
        </w:rPr>
        <w:t xml:space="preserve"> Kohl</w:t>
      </w:r>
      <w:r>
        <w:rPr>
          <w:rFonts w:ascii="Times New Roman" w:eastAsia="Times New Roman" w:hAnsi="Times New Roman" w:cs="Times New Roman"/>
        </w:rPr>
        <w:t>i in the judgement dating 3rd June 2022 iterated “the need for minimal judicial interference by the National Company Law Appellate Tribunal (NCLAT) and National Company Law Tribunal (NCLT)”.</w:t>
      </w:r>
    </w:p>
    <w:p w14:paraId="3C2BDDD0" w14:textId="77777777" w:rsidR="00EE2CB2" w:rsidRDefault="00EE2CB2">
      <w:pPr>
        <w:jc w:val="both"/>
        <w:rPr>
          <w:rFonts w:ascii="Times New Roman" w:eastAsia="Times New Roman" w:hAnsi="Times New Roman" w:cs="Times New Roman"/>
        </w:rPr>
      </w:pPr>
    </w:p>
    <w:p w14:paraId="79E94D80"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Analysis </w:t>
      </w:r>
    </w:p>
    <w:p w14:paraId="064F18A5"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Courts seek for at least 90% of the creditors to be in agreement to withdraw CIRP and not a simple majority which shows that it aims to ensure that most, if not all creditors together decide on this course of action so that no one’s interest is left un</w:t>
      </w:r>
      <w:r>
        <w:rPr>
          <w:rFonts w:ascii="Times New Roman" w:eastAsia="Times New Roman" w:hAnsi="Times New Roman" w:cs="Times New Roman"/>
        </w:rPr>
        <w:t xml:space="preserve">attended. </w:t>
      </w:r>
    </w:p>
    <w:p w14:paraId="23713035" w14:textId="77777777" w:rsidR="00EE2CB2" w:rsidRDefault="00EE2CB2">
      <w:pPr>
        <w:jc w:val="both"/>
        <w:rPr>
          <w:rFonts w:ascii="Times New Roman" w:eastAsia="Times New Roman" w:hAnsi="Times New Roman" w:cs="Times New Roman"/>
        </w:rPr>
      </w:pPr>
    </w:p>
    <w:p w14:paraId="485338EB"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Conclusion </w:t>
      </w:r>
    </w:p>
    <w:p w14:paraId="3BBB7D2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SC, allowing the appeals, iterated that neither NCLT nor NCLAT were justified in not giving adequate weightage to the commercial wisdom of CoC and quashed the impugned judgment of NCLT. </w:t>
      </w:r>
    </w:p>
    <w:p w14:paraId="22BCABE4" w14:textId="77777777" w:rsidR="00EE2CB2" w:rsidRDefault="00EE2CB2">
      <w:pPr>
        <w:jc w:val="both"/>
        <w:rPr>
          <w:rFonts w:ascii="Times New Roman" w:eastAsia="Times New Roman" w:hAnsi="Times New Roman" w:cs="Times New Roman"/>
          <w:b/>
        </w:rPr>
      </w:pPr>
    </w:p>
    <w:p w14:paraId="3B1B0D30" w14:textId="77777777" w:rsidR="00EE2CB2" w:rsidRDefault="00EE2CB2">
      <w:pPr>
        <w:jc w:val="both"/>
        <w:rPr>
          <w:rFonts w:ascii="Times New Roman" w:eastAsia="Times New Roman" w:hAnsi="Times New Roman" w:cs="Times New Roman"/>
          <w:b/>
        </w:rPr>
      </w:pPr>
    </w:p>
    <w:p w14:paraId="17D5CF98" w14:textId="77777777" w:rsidR="00EE2CB2" w:rsidRDefault="00EE2CB2">
      <w:pPr>
        <w:jc w:val="both"/>
        <w:rPr>
          <w:rFonts w:ascii="Times New Roman" w:eastAsia="Times New Roman" w:hAnsi="Times New Roman" w:cs="Times New Roman"/>
          <w:b/>
        </w:rPr>
      </w:pPr>
    </w:p>
    <w:p w14:paraId="0089B5F1" w14:textId="77777777" w:rsidR="00EE2CB2" w:rsidRDefault="00EE2CB2">
      <w:pPr>
        <w:jc w:val="both"/>
        <w:rPr>
          <w:rFonts w:ascii="Times New Roman" w:eastAsia="Times New Roman" w:hAnsi="Times New Roman" w:cs="Times New Roman"/>
          <w:b/>
        </w:rPr>
      </w:pPr>
    </w:p>
    <w:p w14:paraId="3E15891C" w14:textId="77777777" w:rsidR="00EE2CB2" w:rsidRDefault="00EE2CB2">
      <w:pPr>
        <w:jc w:val="both"/>
        <w:rPr>
          <w:rFonts w:ascii="Times New Roman" w:eastAsia="Times New Roman" w:hAnsi="Times New Roman" w:cs="Times New Roman"/>
          <w:b/>
        </w:rPr>
      </w:pPr>
    </w:p>
    <w:p w14:paraId="5B39D79B" w14:textId="77777777" w:rsidR="00EE2CB2" w:rsidRDefault="00EE2CB2">
      <w:pPr>
        <w:jc w:val="both"/>
        <w:rPr>
          <w:rFonts w:ascii="Times New Roman" w:eastAsia="Times New Roman" w:hAnsi="Times New Roman" w:cs="Times New Roman"/>
          <w:b/>
        </w:rPr>
      </w:pPr>
    </w:p>
    <w:p w14:paraId="551131D8" w14:textId="77777777" w:rsidR="00EE2CB2" w:rsidRDefault="00EE2CB2">
      <w:pPr>
        <w:jc w:val="both"/>
        <w:rPr>
          <w:rFonts w:ascii="Times New Roman" w:eastAsia="Times New Roman" w:hAnsi="Times New Roman" w:cs="Times New Roman"/>
          <w:b/>
        </w:rPr>
      </w:pPr>
    </w:p>
    <w:p w14:paraId="0FB211D3" w14:textId="77777777" w:rsidR="00EE2CB2" w:rsidRDefault="00EE2CB2">
      <w:pPr>
        <w:jc w:val="both"/>
        <w:rPr>
          <w:rFonts w:ascii="Times New Roman" w:eastAsia="Times New Roman" w:hAnsi="Times New Roman" w:cs="Times New Roman"/>
          <w:b/>
        </w:rPr>
      </w:pPr>
    </w:p>
    <w:p w14:paraId="3D6283C6" w14:textId="77777777" w:rsidR="00EE2CB2" w:rsidRDefault="00EE2CB2">
      <w:pPr>
        <w:jc w:val="both"/>
        <w:rPr>
          <w:rFonts w:ascii="Times New Roman" w:eastAsia="Times New Roman" w:hAnsi="Times New Roman" w:cs="Times New Roman"/>
          <w:b/>
        </w:rPr>
      </w:pPr>
    </w:p>
    <w:p w14:paraId="07661EA5" w14:textId="77777777" w:rsidR="00EE2CB2" w:rsidRDefault="00EE2CB2">
      <w:pPr>
        <w:jc w:val="both"/>
        <w:rPr>
          <w:rFonts w:ascii="Times New Roman" w:eastAsia="Times New Roman" w:hAnsi="Times New Roman" w:cs="Times New Roman"/>
          <w:b/>
        </w:rPr>
      </w:pPr>
    </w:p>
    <w:p w14:paraId="73B26001" w14:textId="77777777" w:rsidR="00EE2CB2" w:rsidRDefault="00EE2CB2">
      <w:pPr>
        <w:jc w:val="both"/>
        <w:rPr>
          <w:rFonts w:ascii="Times New Roman" w:eastAsia="Times New Roman" w:hAnsi="Times New Roman" w:cs="Times New Roman"/>
          <w:b/>
        </w:rPr>
      </w:pPr>
    </w:p>
    <w:p w14:paraId="1D19EBD2" w14:textId="77777777" w:rsidR="00EE2CB2" w:rsidRDefault="00EE2CB2">
      <w:pPr>
        <w:jc w:val="both"/>
        <w:rPr>
          <w:rFonts w:ascii="Times New Roman" w:eastAsia="Times New Roman" w:hAnsi="Times New Roman" w:cs="Times New Roman"/>
          <w:b/>
        </w:rPr>
      </w:pPr>
    </w:p>
    <w:p w14:paraId="067888AC" w14:textId="63FC1B3C" w:rsidR="00EE2CB2" w:rsidRDefault="00EE2CB2">
      <w:pPr>
        <w:jc w:val="both"/>
        <w:rPr>
          <w:rFonts w:ascii="Times New Roman" w:eastAsia="Times New Roman" w:hAnsi="Times New Roman" w:cs="Times New Roman"/>
          <w:b/>
        </w:rPr>
      </w:pPr>
    </w:p>
    <w:p w14:paraId="59ADC4AE" w14:textId="77777777" w:rsidR="00CE1504" w:rsidRDefault="00CE1504">
      <w:pPr>
        <w:jc w:val="both"/>
        <w:rPr>
          <w:rFonts w:ascii="Times New Roman" w:eastAsia="Times New Roman" w:hAnsi="Times New Roman" w:cs="Times New Roman"/>
          <w:b/>
        </w:rPr>
      </w:pPr>
    </w:p>
    <w:p w14:paraId="56244BC0" w14:textId="4663E907" w:rsidR="00EE2CB2" w:rsidRPr="00CE1504" w:rsidRDefault="00BD18D0" w:rsidP="00CE1504">
      <w:pPr>
        <w:numPr>
          <w:ilvl w:val="0"/>
          <w:numId w:val="7"/>
        </w:numPr>
        <w:jc w:val="both"/>
        <w:rPr>
          <w:rFonts w:ascii="Times New Roman" w:eastAsia="Times New Roman" w:hAnsi="Times New Roman" w:cs="Times New Roman"/>
          <w:b/>
          <w:bCs/>
        </w:rPr>
      </w:pPr>
      <w:r w:rsidRPr="00CE1504">
        <w:rPr>
          <w:rFonts w:ascii="Times New Roman" w:eastAsia="Times New Roman" w:hAnsi="Times New Roman" w:cs="Times New Roman"/>
          <w:b/>
          <w:bCs/>
        </w:rPr>
        <w:t xml:space="preserve">NCLT, Kolkata Bench reiterates appellate court’s order - Adjudicating Authority not vested with the ‘authority’ to hear cases under PMLA. </w:t>
      </w:r>
    </w:p>
    <w:p w14:paraId="497AE662" w14:textId="77777777" w:rsidR="00EE2CB2" w:rsidRDefault="00EE2CB2">
      <w:pPr>
        <w:jc w:val="both"/>
        <w:rPr>
          <w:rFonts w:ascii="Times New Roman" w:eastAsia="Times New Roman" w:hAnsi="Times New Roman" w:cs="Times New Roman"/>
          <w:b/>
        </w:rPr>
      </w:pPr>
    </w:p>
    <w:p w14:paraId="0AE50B15"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0FE6D111"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EF21A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In the case of </w:t>
      </w:r>
      <w:r>
        <w:rPr>
          <w:rFonts w:ascii="Times New Roman" w:eastAsia="Times New Roman" w:hAnsi="Times New Roman" w:cs="Times New Roman"/>
          <w:i/>
        </w:rPr>
        <w:t>Rahul Carbon Commercials Private Limited v. Kohinoor Steel Pvt. Ltd.</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the Kolkata Be</w:t>
      </w:r>
      <w:r>
        <w:rPr>
          <w:rFonts w:ascii="Times New Roman" w:eastAsia="Times New Roman" w:hAnsi="Times New Roman" w:cs="Times New Roman"/>
        </w:rPr>
        <w:t>nch of NCLT re-established that the adjudicating authority was not vested with the power to hear money-laundering cases, reinforcing the appellate authority’s order.</w:t>
      </w:r>
    </w:p>
    <w:p w14:paraId="04EA475B" w14:textId="77777777" w:rsidR="00EE2CB2" w:rsidRDefault="00EE2CB2">
      <w:pPr>
        <w:jc w:val="both"/>
        <w:rPr>
          <w:rFonts w:ascii="Times New Roman" w:eastAsia="Times New Roman" w:hAnsi="Times New Roman" w:cs="Times New Roman"/>
        </w:rPr>
      </w:pPr>
    </w:p>
    <w:p w14:paraId="2AC01912"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Facts </w:t>
      </w:r>
    </w:p>
    <w:p w14:paraId="268E850F" w14:textId="77777777" w:rsidR="00EE2CB2" w:rsidRDefault="00EE2CB2">
      <w:pPr>
        <w:jc w:val="both"/>
        <w:rPr>
          <w:rFonts w:ascii="Times New Roman" w:eastAsia="Times New Roman" w:hAnsi="Times New Roman" w:cs="Times New Roman"/>
          <w:b/>
        </w:rPr>
      </w:pPr>
    </w:p>
    <w:p w14:paraId="449348CC" w14:textId="77777777" w:rsidR="00EE2CB2" w:rsidRDefault="00BD18D0">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Corporate Insolvency Resolution Process (CIRP) were initiated against the Corporate Debtor on 20.11.2019. However, in another twist of events, the Respondents issued a letter to the Applicant informing them that an investigation under the Prevention of Mon</w:t>
      </w:r>
      <w:r>
        <w:rPr>
          <w:rFonts w:ascii="Times New Roman" w:eastAsia="Times New Roman" w:hAnsi="Times New Roman" w:cs="Times New Roman"/>
        </w:rPr>
        <w:t xml:space="preserve">ey Laundering Act 2002 (PMLA) was being conducted against the Corporate Debtor and its directors. </w:t>
      </w:r>
    </w:p>
    <w:p w14:paraId="615C845D" w14:textId="77777777" w:rsidR="00EE2CB2" w:rsidRDefault="00BD18D0">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The Applicant replied stating that the respondents did not have the authority to initiate proceedings under PMLA till the conclusion of CIRP. Disregarding th</w:t>
      </w:r>
      <w:r>
        <w:rPr>
          <w:rFonts w:ascii="Times New Roman" w:eastAsia="Times New Roman" w:hAnsi="Times New Roman" w:cs="Times New Roman"/>
        </w:rPr>
        <w:t xml:space="preserve">is, the Respondents issued a Provisional Attachment Order (PAO/Attachment Order), and attached properties worth Rs. 96.69 Crores, belonging to the Corporate Debtor. </w:t>
      </w:r>
    </w:p>
    <w:p w14:paraId="354EBDD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8D61469" w14:textId="77777777" w:rsidR="00EE2CB2" w:rsidRDefault="00EE2CB2">
      <w:pPr>
        <w:jc w:val="both"/>
        <w:rPr>
          <w:rFonts w:ascii="Times New Roman" w:eastAsia="Times New Roman" w:hAnsi="Times New Roman" w:cs="Times New Roman"/>
          <w:b/>
        </w:rPr>
      </w:pPr>
    </w:p>
    <w:p w14:paraId="37D9CD2C"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The matter in question</w:t>
      </w:r>
    </w:p>
    <w:p w14:paraId="39A0E056" w14:textId="77777777" w:rsidR="00EE2CB2" w:rsidRDefault="00EE2CB2">
      <w:pPr>
        <w:jc w:val="both"/>
        <w:rPr>
          <w:rFonts w:ascii="Times New Roman" w:eastAsia="Times New Roman" w:hAnsi="Times New Roman" w:cs="Times New Roman"/>
          <w:b/>
        </w:rPr>
      </w:pPr>
    </w:p>
    <w:p w14:paraId="6BCB046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Can NCLT hear money-laundering cases under the Prevention of Mo</w:t>
      </w:r>
      <w:r>
        <w:rPr>
          <w:rFonts w:ascii="Times New Roman" w:eastAsia="Times New Roman" w:hAnsi="Times New Roman" w:cs="Times New Roman"/>
        </w:rPr>
        <w:t>ney Laundering Act (PMLA), 2002, questioning a previous judgement of the NCLAT that decided negatively in this matter. And can proceedings under PMLA be initiated simultaneously when CIRP has already been initiated?</w:t>
      </w:r>
    </w:p>
    <w:p w14:paraId="6675CAD9" w14:textId="77777777" w:rsidR="00EE2CB2" w:rsidRDefault="00EE2CB2">
      <w:pPr>
        <w:jc w:val="both"/>
        <w:rPr>
          <w:rFonts w:ascii="Times New Roman" w:eastAsia="Times New Roman" w:hAnsi="Times New Roman" w:cs="Times New Roman"/>
        </w:rPr>
      </w:pPr>
    </w:p>
    <w:p w14:paraId="4FF3CD69"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Judgement </w:t>
      </w:r>
    </w:p>
    <w:p w14:paraId="571C022B" w14:textId="77777777" w:rsidR="00EE2CB2" w:rsidRDefault="00EE2CB2">
      <w:pPr>
        <w:jc w:val="both"/>
        <w:rPr>
          <w:rFonts w:ascii="Times New Roman" w:eastAsia="Times New Roman" w:hAnsi="Times New Roman" w:cs="Times New Roman"/>
          <w:b/>
        </w:rPr>
      </w:pPr>
    </w:p>
    <w:p w14:paraId="688C2155"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In the case of </w:t>
      </w:r>
      <w:r>
        <w:rPr>
          <w:rFonts w:ascii="Times New Roman" w:eastAsia="Times New Roman" w:hAnsi="Times New Roman" w:cs="Times New Roman"/>
          <w:i/>
        </w:rPr>
        <w:t xml:space="preserve">Directorate </w:t>
      </w:r>
      <w:r>
        <w:rPr>
          <w:rFonts w:ascii="Times New Roman" w:eastAsia="Times New Roman" w:hAnsi="Times New Roman" w:cs="Times New Roman"/>
          <w:i/>
        </w:rPr>
        <w:t>of Enforcement vs. Manoj Kumar Agarwal</w:t>
      </w:r>
      <w:r>
        <w:rPr>
          <w:rFonts w:ascii="Times New Roman" w:eastAsia="Times New Roman" w:hAnsi="Times New Roman" w:cs="Times New Roman"/>
          <w:i/>
          <w:vertAlign w:val="superscript"/>
        </w:rPr>
        <w:footnoteReference w:id="15"/>
      </w:r>
      <w:r>
        <w:rPr>
          <w:rFonts w:ascii="Times New Roman" w:eastAsia="Times New Roman" w:hAnsi="Times New Roman" w:cs="Times New Roman"/>
          <w:i/>
        </w:rPr>
        <w:t>,</w:t>
      </w:r>
      <w:r>
        <w:rPr>
          <w:rFonts w:ascii="Times New Roman" w:eastAsia="Times New Roman" w:hAnsi="Times New Roman" w:cs="Times New Roman"/>
        </w:rPr>
        <w:t xml:space="preserve"> it was established there could not be any attachment of Corporate Debtor’s assets under PMLA during the continuation of CIRP. </w:t>
      </w:r>
    </w:p>
    <w:p w14:paraId="62E7A16E" w14:textId="77777777" w:rsidR="00EE2CB2" w:rsidRDefault="00EE2CB2">
      <w:pPr>
        <w:jc w:val="both"/>
        <w:rPr>
          <w:rFonts w:ascii="Times New Roman" w:eastAsia="Times New Roman" w:hAnsi="Times New Roman" w:cs="Times New Roman"/>
        </w:rPr>
      </w:pPr>
    </w:p>
    <w:p w14:paraId="6B28D3D9"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In PMLA, the procedure is for attachment of “proceeds of crime” and eventually for the</w:t>
      </w:r>
      <w:r>
        <w:rPr>
          <w:rFonts w:ascii="Times New Roman" w:eastAsia="Times New Roman" w:hAnsi="Times New Roman" w:cs="Times New Roman"/>
        </w:rPr>
        <w:t xml:space="preserve"> sale of the confiscated properties. No special remedy is considered even under PMLA to compensate any individual who could have possibly been </w:t>
      </w:r>
      <w:proofErr w:type="spellStart"/>
      <w:r>
        <w:rPr>
          <w:rFonts w:ascii="Times New Roman" w:eastAsia="Times New Roman" w:hAnsi="Times New Roman" w:cs="Times New Roman"/>
        </w:rPr>
        <w:t>victimised</w:t>
      </w:r>
      <w:proofErr w:type="spellEnd"/>
      <w:r>
        <w:rPr>
          <w:rFonts w:ascii="Times New Roman" w:eastAsia="Times New Roman" w:hAnsi="Times New Roman" w:cs="Times New Roman"/>
        </w:rPr>
        <w:t xml:space="preserve"> by an act of money laundering. The confiscated assets are sold to </w:t>
      </w:r>
      <w:r>
        <w:rPr>
          <w:rFonts w:ascii="Times New Roman" w:eastAsia="Times New Roman" w:hAnsi="Times New Roman" w:cs="Times New Roman"/>
        </w:rPr>
        <w:lastRenderedPageBreak/>
        <w:t>other parties, so no recovery of any</w:t>
      </w:r>
      <w:r>
        <w:rPr>
          <w:rFonts w:ascii="Times New Roman" w:eastAsia="Times New Roman" w:hAnsi="Times New Roman" w:cs="Times New Roman"/>
        </w:rPr>
        <w:t xml:space="preserve"> kind is in store for the victims to be compensated. In CIRP however, direct benefits are conferred on the creditors of the Corporate Debtor.</w:t>
      </w:r>
      <w:r>
        <w:rPr>
          <w:rFonts w:ascii="Times New Roman" w:eastAsia="Times New Roman" w:hAnsi="Times New Roman" w:cs="Times New Roman"/>
          <w:vertAlign w:val="superscript"/>
        </w:rPr>
        <w:footnoteReference w:id="16"/>
      </w:r>
    </w:p>
    <w:p w14:paraId="18541256" w14:textId="77777777" w:rsidR="00EE2CB2" w:rsidRDefault="00EE2CB2">
      <w:pPr>
        <w:jc w:val="both"/>
        <w:rPr>
          <w:rFonts w:ascii="Times New Roman" w:eastAsia="Times New Roman" w:hAnsi="Times New Roman" w:cs="Times New Roman"/>
        </w:rPr>
      </w:pPr>
    </w:p>
    <w:p w14:paraId="6C50334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main aim of CIRP is not to provide any advantage to the ex- promoters of the Corporate Debtor but “to resol</w:t>
      </w:r>
      <w:r>
        <w:rPr>
          <w:rFonts w:ascii="Times New Roman" w:eastAsia="Times New Roman" w:hAnsi="Times New Roman" w:cs="Times New Roman"/>
        </w:rPr>
        <w:t>ve the insolvency on a ‘clean slate theory’ with the control of the Corporate Debtor being vested with a fresh Resolution Applicant.”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14:paraId="5BCCE471" w14:textId="77777777" w:rsidR="00EE2CB2" w:rsidRDefault="00EE2CB2">
      <w:pPr>
        <w:jc w:val="both"/>
        <w:rPr>
          <w:rFonts w:ascii="Times New Roman" w:eastAsia="Times New Roman" w:hAnsi="Times New Roman" w:cs="Times New Roman"/>
        </w:rPr>
      </w:pPr>
    </w:p>
    <w:p w14:paraId="5E64AA6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NCLT declared, “We are of the opinion that this Adjudicating Authority… is bound by the judgment dated January 3, </w:t>
      </w:r>
      <w:r>
        <w:rPr>
          <w:rFonts w:ascii="Times New Roman" w:eastAsia="Times New Roman" w:hAnsi="Times New Roman" w:cs="Times New Roman"/>
        </w:rPr>
        <w:t>2022, passed by a three-member Bench of the NCLAT which held that NCLT is not entitled to deal with matters arising under the PMLA.”</w:t>
      </w:r>
    </w:p>
    <w:p w14:paraId="56E91138" w14:textId="77777777" w:rsidR="00EE2CB2" w:rsidRDefault="00EE2CB2">
      <w:pPr>
        <w:jc w:val="both"/>
        <w:rPr>
          <w:rFonts w:ascii="Times New Roman" w:eastAsia="Times New Roman" w:hAnsi="Times New Roman" w:cs="Times New Roman"/>
        </w:rPr>
      </w:pPr>
    </w:p>
    <w:p w14:paraId="46468435"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Analysis </w:t>
      </w:r>
    </w:p>
    <w:p w14:paraId="1A4AD08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This judgement clarifies that NCLT cannot hear money-laundering cases. The best explanation for this is that the</w:t>
      </w:r>
      <w:r>
        <w:rPr>
          <w:rFonts w:ascii="Times New Roman" w:eastAsia="Times New Roman" w:hAnsi="Times New Roman" w:cs="Times New Roman"/>
        </w:rPr>
        <w:t xml:space="preserve"> CIRP proceedings and action under PMLA may stretch and the compensation to the victim/sufferer will not be adequately and swiftly provided, which defeats the aim of the law. </w:t>
      </w:r>
    </w:p>
    <w:p w14:paraId="432F8F42" w14:textId="77777777" w:rsidR="00EE2CB2" w:rsidRDefault="00EE2CB2">
      <w:pPr>
        <w:jc w:val="both"/>
        <w:rPr>
          <w:rFonts w:ascii="Times New Roman" w:eastAsia="Times New Roman" w:hAnsi="Times New Roman" w:cs="Times New Roman"/>
          <w:b/>
        </w:rPr>
      </w:pPr>
    </w:p>
    <w:p w14:paraId="1297AF3F"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Conclusion </w:t>
      </w:r>
    </w:p>
    <w:p w14:paraId="602AB65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case was dismissed by Judicial Member Rohit Kapoor and Technical Member Harish </w:t>
      </w:r>
      <w:proofErr w:type="spellStart"/>
      <w:r>
        <w:rPr>
          <w:rFonts w:ascii="Times New Roman" w:eastAsia="Times New Roman" w:hAnsi="Times New Roman" w:cs="Times New Roman"/>
        </w:rPr>
        <w:t>Chander</w:t>
      </w:r>
      <w:proofErr w:type="spellEnd"/>
      <w:r>
        <w:rPr>
          <w:rFonts w:ascii="Times New Roman" w:eastAsia="Times New Roman" w:hAnsi="Times New Roman" w:cs="Times New Roman"/>
        </w:rPr>
        <w:t xml:space="preserve"> Suri from the Kolkata Bench of the National Company Law Tribunal. </w:t>
      </w:r>
    </w:p>
    <w:p w14:paraId="61A0FE44" w14:textId="77777777" w:rsidR="00EE2CB2" w:rsidRDefault="00EE2CB2">
      <w:pPr>
        <w:pStyle w:val="Heading2"/>
        <w:jc w:val="both"/>
        <w:rPr>
          <w:sz w:val="22"/>
          <w:szCs w:val="22"/>
          <w:u w:val="single"/>
        </w:rPr>
      </w:pPr>
      <w:bookmarkStart w:id="3" w:name="_tqymt7ns9716" w:colFirst="0" w:colLast="0"/>
      <w:bookmarkEnd w:id="3"/>
    </w:p>
    <w:p w14:paraId="7847636C" w14:textId="77777777" w:rsidR="00EE2CB2" w:rsidRDefault="00EE2CB2">
      <w:pPr>
        <w:pStyle w:val="Heading2"/>
        <w:jc w:val="both"/>
        <w:rPr>
          <w:sz w:val="22"/>
          <w:szCs w:val="22"/>
          <w:u w:val="single"/>
        </w:rPr>
      </w:pPr>
      <w:bookmarkStart w:id="4" w:name="_6fpe9tiqiz9m" w:colFirst="0" w:colLast="0"/>
      <w:bookmarkEnd w:id="4"/>
    </w:p>
    <w:p w14:paraId="65BE1593" w14:textId="77777777" w:rsidR="00EE2CB2" w:rsidRDefault="00EE2CB2">
      <w:pPr>
        <w:pStyle w:val="Heading2"/>
        <w:jc w:val="both"/>
        <w:rPr>
          <w:sz w:val="22"/>
          <w:szCs w:val="22"/>
          <w:u w:val="single"/>
        </w:rPr>
      </w:pPr>
      <w:bookmarkStart w:id="5" w:name="_6boji1qifrgx" w:colFirst="0" w:colLast="0"/>
      <w:bookmarkEnd w:id="5"/>
    </w:p>
    <w:p w14:paraId="484EA59B" w14:textId="77777777" w:rsidR="00EE2CB2" w:rsidRDefault="00EE2CB2"/>
    <w:p w14:paraId="0C341928" w14:textId="77777777" w:rsidR="00EE2CB2" w:rsidRDefault="00EE2CB2"/>
    <w:p w14:paraId="45B5D1F2" w14:textId="77777777" w:rsidR="00EE2CB2" w:rsidRDefault="00EE2CB2"/>
    <w:p w14:paraId="6B441684" w14:textId="77777777" w:rsidR="00EE2CB2" w:rsidRDefault="00EE2CB2"/>
    <w:p w14:paraId="2E20AB7B" w14:textId="77777777" w:rsidR="00EE2CB2" w:rsidRDefault="00EE2CB2"/>
    <w:p w14:paraId="365F6C52" w14:textId="77777777" w:rsidR="00EE2CB2" w:rsidRDefault="00EE2CB2"/>
    <w:p w14:paraId="05CB4914" w14:textId="77777777" w:rsidR="00EE2CB2" w:rsidRDefault="00EE2CB2"/>
    <w:p w14:paraId="62BF3C16" w14:textId="77777777" w:rsidR="00EE2CB2" w:rsidRDefault="00EE2CB2"/>
    <w:p w14:paraId="5D70FE31" w14:textId="77777777" w:rsidR="00EE2CB2" w:rsidRDefault="00EE2CB2"/>
    <w:p w14:paraId="52D494B6" w14:textId="77777777" w:rsidR="00EE2CB2" w:rsidRDefault="00EE2CB2"/>
    <w:p w14:paraId="4059EE12" w14:textId="77777777" w:rsidR="00EE2CB2" w:rsidRDefault="00EE2CB2"/>
    <w:p w14:paraId="550F0E37" w14:textId="77777777" w:rsidR="00EE2CB2" w:rsidRDefault="00EE2CB2"/>
    <w:p w14:paraId="3DA1407A" w14:textId="77777777" w:rsidR="00EE2CB2" w:rsidRDefault="00EE2CB2"/>
    <w:p w14:paraId="6E3362C2" w14:textId="77777777" w:rsidR="00EE2CB2" w:rsidRDefault="00EE2CB2">
      <w:pPr>
        <w:pStyle w:val="Heading2"/>
        <w:jc w:val="center"/>
        <w:rPr>
          <w:sz w:val="22"/>
          <w:szCs w:val="22"/>
          <w:u w:val="single"/>
        </w:rPr>
      </w:pPr>
      <w:bookmarkStart w:id="6" w:name="_p91xdqoxt0ic" w:colFirst="0" w:colLast="0"/>
      <w:bookmarkEnd w:id="6"/>
    </w:p>
    <w:p w14:paraId="44608F88" w14:textId="77777777" w:rsidR="00EE2CB2" w:rsidRPr="00FE426C" w:rsidRDefault="00BD18D0">
      <w:pPr>
        <w:pStyle w:val="Heading2"/>
        <w:jc w:val="center"/>
        <w:rPr>
          <w:color w:val="FF0000"/>
          <w:sz w:val="22"/>
          <w:szCs w:val="22"/>
          <w:u w:val="single"/>
        </w:rPr>
      </w:pPr>
      <w:bookmarkStart w:id="7" w:name="_da7p12piob4o" w:colFirst="0" w:colLast="0"/>
      <w:bookmarkEnd w:id="7"/>
      <w:r w:rsidRPr="00FE426C">
        <w:rPr>
          <w:color w:val="FF0000"/>
          <w:sz w:val="22"/>
          <w:szCs w:val="22"/>
          <w:u w:val="single"/>
        </w:rPr>
        <w:t xml:space="preserve">Debt Recovery Tribunal (DRT) </w:t>
      </w:r>
    </w:p>
    <w:p w14:paraId="476F3357" w14:textId="77777777" w:rsidR="00EE2CB2" w:rsidRDefault="00EE2CB2">
      <w:pPr>
        <w:jc w:val="both"/>
        <w:rPr>
          <w:rFonts w:ascii="Times New Roman" w:eastAsia="Times New Roman" w:hAnsi="Times New Roman" w:cs="Times New Roman"/>
          <w:b/>
          <w:u w:val="single"/>
        </w:rPr>
      </w:pPr>
    </w:p>
    <w:p w14:paraId="10116FC5" w14:textId="77777777" w:rsidR="00EE2CB2" w:rsidRDefault="00BD18D0">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rPr>
        <w:t xml:space="preserve">Supreme Court stays e-auction as DRT is not </w:t>
      </w:r>
      <w:r>
        <w:rPr>
          <w:rFonts w:ascii="Times New Roman" w:eastAsia="Times New Roman" w:hAnsi="Times New Roman" w:cs="Times New Roman"/>
          <w:b/>
        </w:rPr>
        <w:t>functioning in Bihar</w:t>
      </w:r>
    </w:p>
    <w:p w14:paraId="07F97FE8" w14:textId="77777777" w:rsidR="00EE2CB2" w:rsidRDefault="00EE2CB2">
      <w:pPr>
        <w:jc w:val="both"/>
        <w:rPr>
          <w:rFonts w:ascii="Times New Roman" w:eastAsia="Times New Roman" w:hAnsi="Times New Roman" w:cs="Times New Roman"/>
          <w:b/>
        </w:rPr>
      </w:pPr>
    </w:p>
    <w:p w14:paraId="09ACA89F"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Summary - </w:t>
      </w:r>
      <w:r>
        <w:rPr>
          <w:rFonts w:ascii="Times New Roman" w:eastAsia="Times New Roman" w:hAnsi="Times New Roman" w:cs="Times New Roman"/>
        </w:rPr>
        <w:t xml:space="preserve">The division bench of the Supreme Court in the case </w:t>
      </w:r>
      <w:r>
        <w:rPr>
          <w:rFonts w:ascii="Times New Roman" w:eastAsia="Times New Roman" w:hAnsi="Times New Roman" w:cs="Times New Roman"/>
          <w:i/>
        </w:rPr>
        <w:t xml:space="preserve">Chandan Kumar v. State of Bihar and </w:t>
      </w:r>
      <w:proofErr w:type="spellStart"/>
      <w:r>
        <w:rPr>
          <w:rFonts w:ascii="Times New Roman" w:eastAsia="Times New Roman" w:hAnsi="Times New Roman" w:cs="Times New Roman"/>
          <w:i/>
        </w:rPr>
        <w:t>Ors</w:t>
      </w:r>
      <w:proofErr w:type="spellEnd"/>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suspended an e-auction in Bihar after discerning that the Debt Recovery Tribunal in Bihar is not operational. </w:t>
      </w:r>
    </w:p>
    <w:p w14:paraId="3FCD9E39" w14:textId="77777777" w:rsidR="00EE2CB2" w:rsidRDefault="00EE2CB2">
      <w:pPr>
        <w:jc w:val="both"/>
        <w:rPr>
          <w:rFonts w:ascii="Times New Roman" w:eastAsia="Times New Roman" w:hAnsi="Times New Roman" w:cs="Times New Roman"/>
        </w:rPr>
      </w:pPr>
    </w:p>
    <w:p w14:paraId="4E3BCEF7"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677FC6E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In th</w:t>
      </w:r>
      <w:r>
        <w:rPr>
          <w:rFonts w:ascii="Times New Roman" w:eastAsia="Times New Roman" w:hAnsi="Times New Roman" w:cs="Times New Roman"/>
        </w:rPr>
        <w:t xml:space="preserve">is case, the Supreme Court Division Bench of Justices D Y </w:t>
      </w:r>
      <w:proofErr w:type="spellStart"/>
      <w:r>
        <w:rPr>
          <w:rFonts w:ascii="Times New Roman" w:eastAsia="Times New Roman" w:hAnsi="Times New Roman" w:cs="Times New Roman"/>
        </w:rPr>
        <w:t>Chandrachud</w:t>
      </w:r>
      <w:proofErr w:type="spellEnd"/>
      <w:r>
        <w:rPr>
          <w:rFonts w:ascii="Times New Roman" w:eastAsia="Times New Roman" w:hAnsi="Times New Roman" w:cs="Times New Roman"/>
        </w:rPr>
        <w:t xml:space="preserve"> and Justice Suryakant halted an e-auction in Bihar after observing that the Debt Recovery Tribunal is not functional in the state of Bihar.</w:t>
      </w:r>
    </w:p>
    <w:p w14:paraId="2BFE5859" w14:textId="77777777" w:rsidR="00EE2CB2" w:rsidRDefault="00EE2CB2">
      <w:pPr>
        <w:jc w:val="both"/>
        <w:rPr>
          <w:rFonts w:ascii="Times New Roman" w:eastAsia="Times New Roman" w:hAnsi="Times New Roman" w:cs="Times New Roman"/>
        </w:rPr>
      </w:pPr>
    </w:p>
    <w:p w14:paraId="57900C4C"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Facts</w:t>
      </w:r>
    </w:p>
    <w:p w14:paraId="4C34A1C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relief was granted by a bench of Justices DY </w:t>
      </w:r>
      <w:proofErr w:type="spellStart"/>
      <w:r>
        <w:rPr>
          <w:rFonts w:ascii="Times New Roman" w:eastAsia="Times New Roman" w:hAnsi="Times New Roman" w:cs="Times New Roman"/>
        </w:rPr>
        <w:t>Chandrachud</w:t>
      </w:r>
      <w:proofErr w:type="spellEnd"/>
      <w:r>
        <w:rPr>
          <w:rFonts w:ascii="Times New Roman" w:eastAsia="Times New Roman" w:hAnsi="Times New Roman" w:cs="Times New Roman"/>
        </w:rPr>
        <w:t xml:space="preserve"> and Surya Kant while reviewing a special leave petition challenging a Patna High Court judgement dated November 30, 2021. </w:t>
      </w:r>
    </w:p>
    <w:p w14:paraId="1A2EB419"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While providing the petitioner time to settle the account with State Ban</w:t>
      </w:r>
      <w:r>
        <w:rPr>
          <w:rFonts w:ascii="Times New Roman" w:eastAsia="Times New Roman" w:hAnsi="Times New Roman" w:cs="Times New Roman"/>
        </w:rPr>
        <w:t>k of India, the High Court disposed of the plea by granting him the liberty to approach DRT, Bihar if the settlement did not fructify.</w:t>
      </w:r>
    </w:p>
    <w:p w14:paraId="0CBFD909" w14:textId="77777777" w:rsidR="00EE2CB2" w:rsidRDefault="00EE2CB2">
      <w:pPr>
        <w:jc w:val="both"/>
        <w:rPr>
          <w:rFonts w:ascii="Times New Roman" w:eastAsia="Times New Roman" w:hAnsi="Times New Roman" w:cs="Times New Roman"/>
        </w:rPr>
      </w:pPr>
    </w:p>
    <w:p w14:paraId="36F5D95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Issues mentioned </w:t>
      </w:r>
    </w:p>
    <w:p w14:paraId="10A03C8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A Special Leave Petition challenging the order of Patna High Court.</w:t>
      </w:r>
    </w:p>
    <w:p w14:paraId="6E3F7B15"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461C5A0"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Petitioner’s contentions </w:t>
      </w:r>
    </w:p>
    <w:p w14:paraId="05E73B4F"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Advoca</w:t>
      </w:r>
      <w:r>
        <w:rPr>
          <w:rFonts w:ascii="Times New Roman" w:eastAsia="Times New Roman" w:hAnsi="Times New Roman" w:cs="Times New Roman"/>
        </w:rPr>
        <w:t xml:space="preserve">te </w:t>
      </w:r>
      <w:proofErr w:type="spellStart"/>
      <w:r>
        <w:rPr>
          <w:rFonts w:ascii="Times New Roman" w:eastAsia="Times New Roman" w:hAnsi="Times New Roman" w:cs="Times New Roman"/>
        </w:rPr>
        <w:t>Shivam</w:t>
      </w:r>
      <w:proofErr w:type="spellEnd"/>
      <w:r>
        <w:rPr>
          <w:rFonts w:ascii="Times New Roman" w:eastAsia="Times New Roman" w:hAnsi="Times New Roman" w:cs="Times New Roman"/>
        </w:rPr>
        <w:t xml:space="preserve"> Singh, counsel for the petitioner, contended that in the impugned decision, the High Court gave time to settle the account with the respondent – the bank. He further claimed that, although giving time, the High Court proceeded to dismiss the case</w:t>
      </w:r>
      <w:r>
        <w:rPr>
          <w:rFonts w:ascii="Times New Roman" w:eastAsia="Times New Roman" w:hAnsi="Times New Roman" w:cs="Times New Roman"/>
        </w:rPr>
        <w:t xml:space="preserve"> with the stipulation that if the settlement did not </w:t>
      </w:r>
      <w:proofErr w:type="spellStart"/>
      <w:r>
        <w:rPr>
          <w:rFonts w:ascii="Times New Roman" w:eastAsia="Times New Roman" w:hAnsi="Times New Roman" w:cs="Times New Roman"/>
        </w:rPr>
        <w:t>materialise</w:t>
      </w:r>
      <w:proofErr w:type="spellEnd"/>
      <w:r>
        <w:rPr>
          <w:rFonts w:ascii="Times New Roman" w:eastAsia="Times New Roman" w:hAnsi="Times New Roman" w:cs="Times New Roman"/>
        </w:rPr>
        <w:t>, the petitioner would be free to pursue the remedy before the Debt Recovery Tribunal.</w:t>
      </w:r>
    </w:p>
    <w:p w14:paraId="12DAF150" w14:textId="77777777" w:rsidR="00EE2CB2" w:rsidRDefault="00EE2CB2">
      <w:pPr>
        <w:jc w:val="both"/>
        <w:rPr>
          <w:rFonts w:ascii="Times New Roman" w:eastAsia="Times New Roman" w:hAnsi="Times New Roman" w:cs="Times New Roman"/>
        </w:rPr>
      </w:pPr>
    </w:p>
    <w:p w14:paraId="74683299"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Reasoning and decision of the Court </w:t>
      </w:r>
    </w:p>
    <w:p w14:paraId="5C69FBAF"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Court considered the facts of the case and ordered the Responde</w:t>
      </w:r>
      <w:r>
        <w:rPr>
          <w:rFonts w:ascii="Times New Roman" w:eastAsia="Times New Roman" w:hAnsi="Times New Roman" w:cs="Times New Roman"/>
        </w:rPr>
        <w:t xml:space="preserve">nt to stay the auction process until the next date of </w:t>
      </w:r>
      <w:proofErr w:type="gramStart"/>
      <w:r>
        <w:rPr>
          <w:rFonts w:ascii="Times New Roman" w:eastAsia="Times New Roman" w:hAnsi="Times New Roman" w:cs="Times New Roman"/>
        </w:rPr>
        <w:t>hearing, and</w:t>
      </w:r>
      <w:proofErr w:type="gramEnd"/>
      <w:r>
        <w:rPr>
          <w:rFonts w:ascii="Times New Roman" w:eastAsia="Times New Roman" w:hAnsi="Times New Roman" w:cs="Times New Roman"/>
        </w:rPr>
        <w:t xml:space="preserve"> directed the petitioner to deposit one crore with the SBI Stressed Assets Management Branch (respondent) before February 14, 2022, and another 75 lakh on or before March 14, 2022.</w:t>
      </w:r>
    </w:p>
    <w:p w14:paraId="68E95C30" w14:textId="77777777" w:rsidR="00EE2CB2" w:rsidRDefault="00EE2CB2">
      <w:pPr>
        <w:jc w:val="both"/>
        <w:rPr>
          <w:rFonts w:ascii="Times New Roman" w:eastAsia="Times New Roman" w:hAnsi="Times New Roman" w:cs="Times New Roman"/>
        </w:rPr>
      </w:pPr>
    </w:p>
    <w:p w14:paraId="5B8281B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Cour</w:t>
      </w:r>
      <w:r>
        <w:rPr>
          <w:rFonts w:ascii="Times New Roman" w:eastAsia="Times New Roman" w:hAnsi="Times New Roman" w:cs="Times New Roman"/>
        </w:rPr>
        <w:t xml:space="preserve">t </w:t>
      </w:r>
      <w:proofErr w:type="spellStart"/>
      <w:r>
        <w:rPr>
          <w:rFonts w:ascii="Times New Roman" w:eastAsia="Times New Roman" w:hAnsi="Times New Roman" w:cs="Times New Roman"/>
        </w:rPr>
        <w:t>emphasised</w:t>
      </w:r>
      <w:proofErr w:type="spellEnd"/>
      <w:r>
        <w:rPr>
          <w:rFonts w:ascii="Times New Roman" w:eastAsia="Times New Roman" w:hAnsi="Times New Roman" w:cs="Times New Roman"/>
        </w:rPr>
        <w:t xml:space="preserve"> that the Debt Recovery Tribunal is not operational in the state of Bihar, hence the Court granted the petitioner conditional relief by directing the Respondent to suspend the e-auction until the next day of listing.</w:t>
      </w:r>
    </w:p>
    <w:p w14:paraId="38B63E7D" w14:textId="77777777" w:rsidR="00EE2CB2" w:rsidRDefault="00EE2CB2">
      <w:pPr>
        <w:jc w:val="both"/>
        <w:rPr>
          <w:rFonts w:ascii="Times New Roman" w:eastAsia="Times New Roman" w:hAnsi="Times New Roman" w:cs="Times New Roman"/>
        </w:rPr>
      </w:pPr>
    </w:p>
    <w:p w14:paraId="42881D6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lastRenderedPageBreak/>
        <w:t>The Supreme Court has take</w:t>
      </w:r>
      <w:r>
        <w:rPr>
          <w:rFonts w:ascii="Times New Roman" w:eastAsia="Times New Roman" w:hAnsi="Times New Roman" w:cs="Times New Roman"/>
        </w:rPr>
        <w:t xml:space="preserve">n note of the concerning scenario in which numerous DRTs and DRATS remain inoperable around the country, owing to unfilled vacancies. In light of this, the Apex Court issued an order in December 2021 asking High Courts to hear debt collection and SARFAESI </w:t>
      </w:r>
      <w:r>
        <w:rPr>
          <w:rFonts w:ascii="Times New Roman" w:eastAsia="Times New Roman" w:hAnsi="Times New Roman" w:cs="Times New Roman"/>
        </w:rPr>
        <w:t>cases under Article 226 if DRTs/DRATs are not operational in the concerned jurisdiction.</w:t>
      </w:r>
    </w:p>
    <w:p w14:paraId="7ADD942B" w14:textId="77777777" w:rsidR="00EE2CB2" w:rsidRDefault="00EE2CB2">
      <w:pPr>
        <w:jc w:val="both"/>
        <w:rPr>
          <w:rFonts w:ascii="Times New Roman" w:eastAsia="Times New Roman" w:hAnsi="Times New Roman" w:cs="Times New Roman"/>
        </w:rPr>
      </w:pPr>
    </w:p>
    <w:p w14:paraId="218A30F5"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Analysis</w:t>
      </w:r>
    </w:p>
    <w:p w14:paraId="4D84D9E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inoperable state of DRTs made the Supreme Court of India to plunge into the sorry state of affairs with regards to the tribunal and also established a ru</w:t>
      </w:r>
      <w:r>
        <w:rPr>
          <w:rFonts w:ascii="Times New Roman" w:eastAsia="Times New Roman" w:hAnsi="Times New Roman" w:cs="Times New Roman"/>
        </w:rPr>
        <w:t xml:space="preserve">le of thumb for courts to follow for debt collection cases. </w:t>
      </w:r>
    </w:p>
    <w:p w14:paraId="7CA77363" w14:textId="77777777" w:rsidR="00EE2CB2" w:rsidRDefault="00EE2CB2">
      <w:pPr>
        <w:jc w:val="both"/>
        <w:rPr>
          <w:rFonts w:ascii="Times New Roman" w:eastAsia="Times New Roman" w:hAnsi="Times New Roman" w:cs="Times New Roman"/>
          <w:b/>
        </w:rPr>
      </w:pPr>
    </w:p>
    <w:p w14:paraId="177ADF85" w14:textId="36D4C9BC" w:rsidR="00EE2CB2" w:rsidRPr="00CE1504" w:rsidRDefault="00BD18D0" w:rsidP="00CE1504">
      <w:pPr>
        <w:numPr>
          <w:ilvl w:val="0"/>
          <w:numId w:val="2"/>
        </w:numPr>
        <w:jc w:val="both"/>
        <w:rPr>
          <w:rFonts w:ascii="Times New Roman" w:eastAsia="Times New Roman" w:hAnsi="Times New Roman" w:cs="Times New Roman"/>
          <w:b/>
          <w:bCs/>
        </w:rPr>
      </w:pPr>
      <w:r w:rsidRPr="00CE1504">
        <w:rPr>
          <w:rFonts w:ascii="Times New Roman" w:eastAsia="Times New Roman" w:hAnsi="Times New Roman" w:cs="Times New Roman"/>
          <w:b/>
          <w:bCs/>
        </w:rPr>
        <w:t xml:space="preserve">Nagpur Bench of the Bombay High court ruled that the DRT cannot ban a person from traveling overseas. </w:t>
      </w:r>
    </w:p>
    <w:p w14:paraId="5FDD9D39" w14:textId="77777777" w:rsidR="00EE2CB2" w:rsidRDefault="00EE2CB2">
      <w:pPr>
        <w:jc w:val="both"/>
        <w:rPr>
          <w:rFonts w:ascii="Times New Roman" w:eastAsia="Times New Roman" w:hAnsi="Times New Roman" w:cs="Times New Roman"/>
        </w:rPr>
      </w:pPr>
    </w:p>
    <w:p w14:paraId="53E57E7B"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2632084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Nagpur bench of the Bombay High Court ruled in the case of </w:t>
      </w:r>
      <w:r>
        <w:rPr>
          <w:rFonts w:ascii="Times New Roman" w:eastAsia="Times New Roman" w:hAnsi="Times New Roman" w:cs="Times New Roman"/>
          <w:i/>
        </w:rPr>
        <w:t xml:space="preserve">Anurag s/o. </w:t>
      </w:r>
      <w:proofErr w:type="spellStart"/>
      <w:r>
        <w:rPr>
          <w:rFonts w:ascii="Times New Roman" w:eastAsia="Times New Roman" w:hAnsi="Times New Roman" w:cs="Times New Roman"/>
          <w:i/>
        </w:rPr>
        <w:t>Padmesh</w:t>
      </w:r>
      <w:proofErr w:type="spellEnd"/>
      <w:r>
        <w:rPr>
          <w:rFonts w:ascii="Times New Roman" w:eastAsia="Times New Roman" w:hAnsi="Times New Roman" w:cs="Times New Roman"/>
          <w:i/>
        </w:rPr>
        <w:t xml:space="preserve"> Gupta v. Bank of India</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decided that the Debt Recovery Tribunal (DRT) cannot prevent a citizen from travelling abroad because the Recovery of Debts Due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Banks and Financi</w:t>
      </w:r>
      <w:r>
        <w:rPr>
          <w:rFonts w:ascii="Times New Roman" w:eastAsia="Times New Roman" w:hAnsi="Times New Roman" w:cs="Times New Roman"/>
        </w:rPr>
        <w:t xml:space="preserve">al Institutions Act 1993 lacks any express or implied provision that </w:t>
      </w:r>
      <w:proofErr w:type="spellStart"/>
      <w:r>
        <w:rPr>
          <w:rFonts w:ascii="Times New Roman" w:eastAsia="Times New Roman" w:hAnsi="Times New Roman" w:cs="Times New Roman"/>
        </w:rPr>
        <w:t>authorises</w:t>
      </w:r>
      <w:proofErr w:type="spellEnd"/>
      <w:r>
        <w:rPr>
          <w:rFonts w:ascii="Times New Roman" w:eastAsia="Times New Roman" w:hAnsi="Times New Roman" w:cs="Times New Roman"/>
        </w:rPr>
        <w:t xml:space="preserve"> it to do so. </w:t>
      </w:r>
    </w:p>
    <w:p w14:paraId="68756715" w14:textId="77777777" w:rsidR="00EE2CB2" w:rsidRDefault="00EE2CB2">
      <w:pPr>
        <w:jc w:val="both"/>
        <w:rPr>
          <w:rFonts w:ascii="Times New Roman" w:eastAsia="Times New Roman" w:hAnsi="Times New Roman" w:cs="Times New Roman"/>
        </w:rPr>
      </w:pPr>
    </w:p>
    <w:p w14:paraId="7B008D28"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Facts</w:t>
      </w:r>
    </w:p>
    <w:p w14:paraId="5F343363" w14:textId="77777777" w:rsidR="00EE2CB2" w:rsidRDefault="00BD18D0">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Anurag Gupta, a businessman, petitioned before the Bombay High Court under Articles 226 and 227 of the constitution, challenging DRT's decision to deny his request to travel.  </w:t>
      </w:r>
    </w:p>
    <w:p w14:paraId="70A4408B" w14:textId="77777777" w:rsidR="00EE2CB2" w:rsidRDefault="00BD18D0">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Mr. Gupta is Gupta Energy Pvt. Ltd.’s personal guarantor.</w:t>
      </w:r>
    </w:p>
    <w:p w14:paraId="684CFDB1" w14:textId="77777777" w:rsidR="00EE2CB2" w:rsidRDefault="00BD18D0">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The company faced pro</w:t>
      </w:r>
      <w:r>
        <w:rPr>
          <w:rFonts w:ascii="Times New Roman" w:eastAsia="Times New Roman" w:hAnsi="Times New Roman" w:cs="Times New Roman"/>
        </w:rPr>
        <w:t>ceedings before the NCLT under the Insolvency and Bankruptcy Code, 2016, followed by a liquidation order in 2018. The consortium filed an application with the Nagpur DRT in 2016 seeking recovery of Rs 110.15 crore as well as a ban on Gupta traveling overse</w:t>
      </w:r>
      <w:r>
        <w:rPr>
          <w:rFonts w:ascii="Times New Roman" w:eastAsia="Times New Roman" w:hAnsi="Times New Roman" w:cs="Times New Roman"/>
        </w:rPr>
        <w:t>as.</w:t>
      </w:r>
    </w:p>
    <w:p w14:paraId="6CAD7066" w14:textId="77777777" w:rsidR="00EE2CB2" w:rsidRDefault="00EE2CB2">
      <w:pPr>
        <w:jc w:val="both"/>
        <w:rPr>
          <w:rFonts w:ascii="Times New Roman" w:eastAsia="Times New Roman" w:hAnsi="Times New Roman" w:cs="Times New Roman"/>
        </w:rPr>
      </w:pPr>
    </w:p>
    <w:p w14:paraId="54BDF7FB"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What were the issues?</w:t>
      </w:r>
    </w:p>
    <w:p w14:paraId="16DF4D0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Mr. Gupta’s application to the DRT to allow him to travel abroad was dismissed following which he approached the High Court to decide as to whether the DRT has the authority to restrain a citizen from travelling abroad? </w:t>
      </w:r>
    </w:p>
    <w:p w14:paraId="0F99B34C" w14:textId="77777777" w:rsidR="00EE2CB2" w:rsidRDefault="00EE2CB2">
      <w:pPr>
        <w:jc w:val="both"/>
        <w:rPr>
          <w:rFonts w:ascii="Times New Roman" w:eastAsia="Times New Roman" w:hAnsi="Times New Roman" w:cs="Times New Roman"/>
          <w:b/>
        </w:rPr>
      </w:pPr>
    </w:p>
    <w:p w14:paraId="16802A3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Reasoni</w:t>
      </w:r>
      <w:r>
        <w:rPr>
          <w:rFonts w:ascii="Times New Roman" w:eastAsia="Times New Roman" w:hAnsi="Times New Roman" w:cs="Times New Roman"/>
          <w:b/>
        </w:rPr>
        <w:t>ng and decision of the Court</w:t>
      </w:r>
    </w:p>
    <w:p w14:paraId="4DE0AEB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petitioner argued that the freedom to travel abroad has been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by the Supreme Court and thus could not be restricted, especially since the Act did not provide the Tribunal with such authority. The bank, claimed tha</w:t>
      </w:r>
      <w:r>
        <w:rPr>
          <w:rFonts w:ascii="Times New Roman" w:eastAsia="Times New Roman" w:hAnsi="Times New Roman" w:cs="Times New Roman"/>
        </w:rPr>
        <w:t xml:space="preserve">t the DRT had broad authority to achieve natural justice's goals. </w:t>
      </w:r>
    </w:p>
    <w:p w14:paraId="3F9B6C6F" w14:textId="77777777" w:rsidR="00EE2CB2" w:rsidRDefault="00EE2CB2">
      <w:pPr>
        <w:jc w:val="both"/>
        <w:rPr>
          <w:rFonts w:ascii="Times New Roman" w:eastAsia="Times New Roman" w:hAnsi="Times New Roman" w:cs="Times New Roman"/>
        </w:rPr>
      </w:pPr>
    </w:p>
    <w:p w14:paraId="489BC2E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bench of Justices AS </w:t>
      </w:r>
      <w:proofErr w:type="spellStart"/>
      <w:r>
        <w:rPr>
          <w:rFonts w:ascii="Times New Roman" w:eastAsia="Times New Roman" w:hAnsi="Times New Roman" w:cs="Times New Roman"/>
        </w:rPr>
        <w:t>Chandurkar</w:t>
      </w:r>
      <w:proofErr w:type="spellEnd"/>
      <w:r>
        <w:rPr>
          <w:rFonts w:ascii="Times New Roman" w:eastAsia="Times New Roman" w:hAnsi="Times New Roman" w:cs="Times New Roman"/>
        </w:rPr>
        <w:t xml:space="preserve"> and Amit Borkar stated that a citizen's freedom to travel abroad falls under Article 21 of the Constitution's definition of “personal liberty.” As a res</w:t>
      </w:r>
      <w:r>
        <w:rPr>
          <w:rFonts w:ascii="Times New Roman" w:eastAsia="Times New Roman" w:hAnsi="Times New Roman" w:cs="Times New Roman"/>
        </w:rPr>
        <w:t xml:space="preserve">ult, such a provision in the Act was required to prevent a person from travelling overseas. As a result, the bench reversed the DRT's decision and permitted the petitioner to travel to Turkey for a family wedding. </w:t>
      </w:r>
    </w:p>
    <w:p w14:paraId="1A900270" w14:textId="77777777" w:rsidR="00EE2CB2" w:rsidRDefault="00EE2CB2">
      <w:pPr>
        <w:jc w:val="both"/>
        <w:rPr>
          <w:rFonts w:ascii="Times New Roman" w:eastAsia="Times New Roman" w:hAnsi="Times New Roman" w:cs="Times New Roman"/>
        </w:rPr>
      </w:pPr>
    </w:p>
    <w:p w14:paraId="21BA4E38"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lastRenderedPageBreak/>
        <w:t>With regard to section 22 of CPC, the Co</w:t>
      </w:r>
      <w:r>
        <w:rPr>
          <w:rFonts w:ascii="Times New Roman" w:eastAsia="Times New Roman" w:hAnsi="Times New Roman" w:cs="Times New Roman"/>
        </w:rPr>
        <w:t>urt further stated that the DRT could not go beyond the powers granted by the CPC to ensure natural justice. The court decided that a person cannot be prevented from travelling overseas under subsections sub sections 12, 13(A), 17, and 18 of Section 19, wh</w:t>
      </w:r>
      <w:r>
        <w:rPr>
          <w:rFonts w:ascii="Times New Roman" w:eastAsia="Times New Roman" w:hAnsi="Times New Roman" w:cs="Times New Roman"/>
        </w:rPr>
        <w:t xml:space="preserve">ich </w:t>
      </w:r>
      <w:proofErr w:type="spellStart"/>
      <w:r>
        <w:rPr>
          <w:rFonts w:ascii="Times New Roman" w:eastAsia="Times New Roman" w:hAnsi="Times New Roman" w:cs="Times New Roman"/>
        </w:rPr>
        <w:t>authorises</w:t>
      </w:r>
      <w:proofErr w:type="spellEnd"/>
      <w:r>
        <w:rPr>
          <w:rFonts w:ascii="Times New Roman" w:eastAsia="Times New Roman" w:hAnsi="Times New Roman" w:cs="Times New Roman"/>
        </w:rPr>
        <w:t xml:space="preserve"> the tribunal to adopt orders necessary to give effect to its orders, prevent abuse of its process, or ensure the objects of its justice.</w:t>
      </w:r>
    </w:p>
    <w:p w14:paraId="0357716C" w14:textId="77777777" w:rsidR="00EE2CB2" w:rsidRDefault="00EE2CB2">
      <w:pPr>
        <w:jc w:val="both"/>
        <w:rPr>
          <w:rFonts w:ascii="Times New Roman" w:eastAsia="Times New Roman" w:hAnsi="Times New Roman" w:cs="Times New Roman"/>
        </w:rPr>
      </w:pPr>
    </w:p>
    <w:p w14:paraId="4CA6DCC1"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Analysis</w:t>
      </w:r>
    </w:p>
    <w:p w14:paraId="386FAB82"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This decision has </w:t>
      </w:r>
      <w:proofErr w:type="spellStart"/>
      <w:r>
        <w:rPr>
          <w:rFonts w:ascii="Times New Roman" w:eastAsia="Times New Roman" w:hAnsi="Times New Roman" w:cs="Times New Roman"/>
        </w:rPr>
        <w:t>emphasised</w:t>
      </w:r>
      <w:proofErr w:type="spellEnd"/>
      <w:r>
        <w:rPr>
          <w:rFonts w:ascii="Times New Roman" w:eastAsia="Times New Roman" w:hAnsi="Times New Roman" w:cs="Times New Roman"/>
        </w:rPr>
        <w:t xml:space="preserve"> that the right to travel abroad is a fundamental right under the </w:t>
      </w:r>
      <w:r>
        <w:rPr>
          <w:rFonts w:ascii="Times New Roman" w:eastAsia="Times New Roman" w:hAnsi="Times New Roman" w:cs="Times New Roman"/>
        </w:rPr>
        <w:t xml:space="preserve">ambit of Article 21 of the Indian Constitution and the absence of a provision in law preventing foreign travel does not allow the tribunal to bar the international travel of a citizen through means of interpretation. </w:t>
      </w:r>
    </w:p>
    <w:p w14:paraId="2F137A70" w14:textId="77777777" w:rsidR="00EE2CB2" w:rsidRDefault="00EE2CB2">
      <w:pPr>
        <w:jc w:val="both"/>
        <w:rPr>
          <w:rFonts w:ascii="Times New Roman" w:eastAsia="Times New Roman" w:hAnsi="Times New Roman" w:cs="Times New Roman"/>
          <w:b/>
        </w:rPr>
      </w:pPr>
    </w:p>
    <w:p w14:paraId="194CD6DC" w14:textId="77777777" w:rsidR="00EE2CB2" w:rsidRDefault="00EE2CB2">
      <w:pPr>
        <w:jc w:val="both"/>
        <w:rPr>
          <w:rFonts w:ascii="Times New Roman" w:eastAsia="Times New Roman" w:hAnsi="Times New Roman" w:cs="Times New Roman"/>
          <w:b/>
          <w:u w:val="single"/>
        </w:rPr>
      </w:pPr>
    </w:p>
    <w:p w14:paraId="33DB63EE" w14:textId="77777777" w:rsidR="00EE2CB2" w:rsidRPr="00FE426C" w:rsidRDefault="00BD18D0">
      <w:pPr>
        <w:pStyle w:val="Heading2"/>
        <w:jc w:val="center"/>
        <w:rPr>
          <w:color w:val="FF0000"/>
          <w:sz w:val="22"/>
          <w:szCs w:val="22"/>
          <w:u w:val="single"/>
        </w:rPr>
      </w:pPr>
      <w:bookmarkStart w:id="8" w:name="_rvczhi118w0y" w:colFirst="0" w:colLast="0"/>
      <w:bookmarkEnd w:id="8"/>
      <w:r w:rsidRPr="00FE426C">
        <w:rPr>
          <w:color w:val="FF0000"/>
          <w:sz w:val="22"/>
          <w:szCs w:val="22"/>
          <w:u w:val="single"/>
        </w:rPr>
        <w:t>SAT Judgements and SEBI Regulations</w:t>
      </w:r>
    </w:p>
    <w:p w14:paraId="0295692C" w14:textId="77777777" w:rsidR="00EE2CB2" w:rsidRDefault="00EE2CB2">
      <w:pPr>
        <w:jc w:val="both"/>
        <w:rPr>
          <w:rFonts w:ascii="Times New Roman" w:eastAsia="Times New Roman" w:hAnsi="Times New Roman" w:cs="Times New Roman"/>
          <w:b/>
          <w:u w:val="single"/>
        </w:rPr>
      </w:pPr>
    </w:p>
    <w:p w14:paraId="38F069F1" w14:textId="77777777" w:rsidR="00EE2CB2" w:rsidRDefault="00EE2CB2">
      <w:pPr>
        <w:jc w:val="both"/>
        <w:rPr>
          <w:rFonts w:ascii="Times New Roman" w:eastAsia="Times New Roman" w:hAnsi="Times New Roman" w:cs="Times New Roman"/>
          <w:b/>
          <w:u w:val="single"/>
        </w:rPr>
      </w:pPr>
    </w:p>
    <w:p w14:paraId="7A1D1BCA" w14:textId="77777777" w:rsidR="00EE2CB2" w:rsidRDefault="00BD18D0">
      <w:pPr>
        <w:numPr>
          <w:ilvl w:val="0"/>
          <w:numId w:val="8"/>
        </w:numPr>
        <w:jc w:val="both"/>
        <w:rPr>
          <w:rFonts w:ascii="Times New Roman" w:eastAsia="Times New Roman" w:hAnsi="Times New Roman" w:cs="Times New Roman"/>
          <w:b/>
        </w:rPr>
      </w:pPr>
      <w:r>
        <w:rPr>
          <w:rFonts w:ascii="Times New Roman" w:eastAsia="Times New Roman" w:hAnsi="Times New Roman" w:cs="Times New Roman"/>
          <w:b/>
        </w:rPr>
        <w:t xml:space="preserve">Supreme Court of India asserts that the presumption of insider trading on the grounds of the closeness of the parties is not adequate. </w:t>
      </w:r>
    </w:p>
    <w:p w14:paraId="49C0120A" w14:textId="77777777" w:rsidR="00EE2CB2" w:rsidRDefault="00EE2CB2">
      <w:pPr>
        <w:jc w:val="both"/>
        <w:rPr>
          <w:rFonts w:ascii="Times New Roman" w:eastAsia="Times New Roman" w:hAnsi="Times New Roman" w:cs="Times New Roman"/>
          <w:b/>
        </w:rPr>
      </w:pPr>
    </w:p>
    <w:p w14:paraId="6880D4A2"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316A443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Apex Court, in the case of</w:t>
      </w:r>
      <w:r>
        <w:rPr>
          <w:rFonts w:ascii="Times New Roman" w:eastAsia="Times New Roman" w:hAnsi="Times New Roman" w:cs="Times New Roman"/>
          <w:i/>
        </w:rPr>
        <w:t xml:space="preserve"> Balram Garg v. Securities and Exchange Board of India</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adjudicated that the presumption of insider training could not be simply based on the proximity of the parties. Concrete evidence like letters or emails denoting frequent/continuous communication,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essential in such cases.</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w:t>
      </w:r>
    </w:p>
    <w:p w14:paraId="2E1D2CD1" w14:textId="77777777" w:rsidR="00EE2CB2" w:rsidRDefault="00EE2CB2">
      <w:pPr>
        <w:jc w:val="both"/>
        <w:rPr>
          <w:rFonts w:ascii="Times New Roman" w:eastAsia="Times New Roman" w:hAnsi="Times New Roman" w:cs="Times New Roman"/>
        </w:rPr>
      </w:pPr>
    </w:p>
    <w:p w14:paraId="304D206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Facts</w:t>
      </w:r>
    </w:p>
    <w:p w14:paraId="19E1A88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Securities </w:t>
      </w:r>
      <w:r>
        <w:rPr>
          <w:rFonts w:ascii="Times New Roman" w:eastAsia="Times New Roman" w:hAnsi="Times New Roman" w:cs="Times New Roman"/>
        </w:rPr>
        <w:t xml:space="preserve">and Exchange Board of India (SEBI) issued an impounding order and show cause notice alleging insider trading in 2019, 2020 against 3 people in connection to P. C </w:t>
      </w:r>
      <w:proofErr w:type="spellStart"/>
      <w:r>
        <w:rPr>
          <w:rFonts w:ascii="Times New Roman" w:eastAsia="Times New Roman" w:hAnsi="Times New Roman" w:cs="Times New Roman"/>
        </w:rPr>
        <w:t>Jeweller</w:t>
      </w:r>
      <w:proofErr w:type="spellEnd"/>
      <w:r>
        <w:rPr>
          <w:rFonts w:ascii="Times New Roman" w:eastAsia="Times New Roman" w:hAnsi="Times New Roman" w:cs="Times New Roman"/>
        </w:rPr>
        <w:t xml:space="preserve"> Ltd. </w:t>
      </w:r>
      <w:proofErr w:type="spellStart"/>
      <w:r>
        <w:rPr>
          <w:rFonts w:ascii="Times New Roman" w:eastAsia="Times New Roman" w:hAnsi="Times New Roman" w:cs="Times New Roman"/>
        </w:rPr>
        <w:t>Sachin</w:t>
      </w:r>
      <w:proofErr w:type="spellEnd"/>
      <w:r>
        <w:rPr>
          <w:rFonts w:ascii="Times New Roman" w:eastAsia="Times New Roman" w:hAnsi="Times New Roman" w:cs="Times New Roman"/>
        </w:rPr>
        <w:t xml:space="preserve"> Gupta, Shivani Gupta and Amit Garg were alleged to have used Unpublished </w:t>
      </w:r>
      <w:r>
        <w:rPr>
          <w:rFonts w:ascii="Times New Roman" w:eastAsia="Times New Roman" w:hAnsi="Times New Roman" w:cs="Times New Roman"/>
        </w:rPr>
        <w:t>Price Sensitive Information (USPI) to trade.</w:t>
      </w:r>
    </w:p>
    <w:p w14:paraId="010BF07C" w14:textId="77777777" w:rsidR="00EE2CB2" w:rsidRDefault="00EE2CB2">
      <w:pPr>
        <w:jc w:val="both"/>
        <w:rPr>
          <w:rFonts w:ascii="Times New Roman" w:eastAsia="Times New Roman" w:hAnsi="Times New Roman" w:cs="Times New Roman"/>
        </w:rPr>
      </w:pPr>
    </w:p>
    <w:p w14:paraId="42156E8F"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SEBI claimed that the alleged individuals had access to the USPI based on their close proximity to the promoters of the company.  Following this, the Whole Time Member of SEBI (WTM) imposed a penalty of Rs.20 l</w:t>
      </w:r>
      <w:r>
        <w:rPr>
          <w:rFonts w:ascii="Times New Roman" w:eastAsia="Times New Roman" w:hAnsi="Times New Roman" w:cs="Times New Roman"/>
        </w:rPr>
        <w:t xml:space="preserve">akhs and barred them from the securities market. The appeal filed before the appellate tribunal - Securities Appellate Tribunal (SAT) was dismissed as well. </w:t>
      </w:r>
    </w:p>
    <w:p w14:paraId="4B3F2F8D" w14:textId="77777777" w:rsidR="00EE2CB2" w:rsidRDefault="00EE2CB2">
      <w:pPr>
        <w:jc w:val="both"/>
        <w:rPr>
          <w:rFonts w:ascii="Times New Roman" w:eastAsia="Times New Roman" w:hAnsi="Times New Roman" w:cs="Times New Roman"/>
        </w:rPr>
      </w:pPr>
    </w:p>
    <w:p w14:paraId="52102417"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The contentions </w:t>
      </w:r>
    </w:p>
    <w:p w14:paraId="50456776" w14:textId="77777777" w:rsidR="00EE2CB2" w:rsidRDefault="00EE2CB2">
      <w:pPr>
        <w:jc w:val="both"/>
        <w:rPr>
          <w:rFonts w:ascii="Times New Roman" w:eastAsia="Times New Roman" w:hAnsi="Times New Roman" w:cs="Times New Roman"/>
          <w:b/>
        </w:rPr>
      </w:pPr>
    </w:p>
    <w:p w14:paraId="119F034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court deliberated upon mainly two contentions - </w:t>
      </w:r>
    </w:p>
    <w:p w14:paraId="1C4E1D87" w14:textId="77777777" w:rsidR="00EE2CB2" w:rsidRDefault="00EE2CB2">
      <w:pPr>
        <w:jc w:val="both"/>
        <w:rPr>
          <w:rFonts w:ascii="Times New Roman" w:eastAsia="Times New Roman" w:hAnsi="Times New Roman" w:cs="Times New Roman"/>
        </w:rPr>
      </w:pPr>
    </w:p>
    <w:p w14:paraId="7BCF903E" w14:textId="77777777" w:rsidR="00EE2CB2" w:rsidRDefault="00BD18D0">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Were the WTM and SAT righ</w:t>
      </w:r>
      <w:r>
        <w:rPr>
          <w:rFonts w:ascii="Times New Roman" w:eastAsia="Times New Roman" w:hAnsi="Times New Roman" w:cs="Times New Roman"/>
        </w:rPr>
        <w:t xml:space="preserve">t in discarding the claim of estrangement as asserted by the appellants? </w:t>
      </w:r>
    </w:p>
    <w:p w14:paraId="64DD904F" w14:textId="77777777" w:rsidR="00EE2CB2" w:rsidRDefault="00BD18D0">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Was there any connection between the buying of shares and sharing of USPI between the parties?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w:t>
      </w:r>
    </w:p>
    <w:p w14:paraId="5598DC1C" w14:textId="77777777" w:rsidR="00EE2CB2" w:rsidRDefault="00EE2CB2">
      <w:pPr>
        <w:jc w:val="both"/>
        <w:rPr>
          <w:rFonts w:ascii="Times New Roman" w:eastAsia="Times New Roman" w:hAnsi="Times New Roman" w:cs="Times New Roman"/>
          <w:b/>
        </w:rPr>
      </w:pPr>
    </w:p>
    <w:p w14:paraId="6441050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Arguments by the appellants </w:t>
      </w:r>
    </w:p>
    <w:p w14:paraId="2D6B8643"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Senior Advocate, Mr. Dhruv Mehta, counsel for Balram G</w:t>
      </w:r>
      <w:r>
        <w:rPr>
          <w:rFonts w:ascii="Times New Roman" w:eastAsia="Times New Roman" w:hAnsi="Times New Roman" w:cs="Times New Roman"/>
        </w:rPr>
        <w:t xml:space="preserve">arg asserted that the WTM had held that three alleged individuals to not be ‘connected persons’ or ‘immediate relatives’ of his client. Senior Advocate, Mr. V. </w:t>
      </w:r>
      <w:proofErr w:type="spellStart"/>
      <w:r>
        <w:rPr>
          <w:rFonts w:ascii="Times New Roman" w:eastAsia="Times New Roman" w:hAnsi="Times New Roman" w:cs="Times New Roman"/>
        </w:rPr>
        <w:t>Giri</w:t>
      </w:r>
      <w:proofErr w:type="spellEnd"/>
      <w:r>
        <w:rPr>
          <w:rFonts w:ascii="Times New Roman" w:eastAsia="Times New Roman" w:hAnsi="Times New Roman" w:cs="Times New Roman"/>
        </w:rPr>
        <w:t>, representative for the other appellants, stated that the case was solely based on evidence</w:t>
      </w:r>
      <w:r>
        <w:rPr>
          <w:rFonts w:ascii="Times New Roman" w:eastAsia="Times New Roman" w:hAnsi="Times New Roman" w:cs="Times New Roman"/>
        </w:rPr>
        <w:t xml:space="preserve"> of circumstantial nature and proximity of the parties in question. Proof of estrangement between the parties, along with material evidence had already been presented from the side of his client. </w:t>
      </w:r>
    </w:p>
    <w:p w14:paraId="110A7735" w14:textId="77777777" w:rsidR="00EE2CB2" w:rsidRDefault="00EE2CB2">
      <w:pPr>
        <w:jc w:val="both"/>
        <w:rPr>
          <w:rFonts w:ascii="Times New Roman" w:eastAsia="Times New Roman" w:hAnsi="Times New Roman" w:cs="Times New Roman"/>
          <w:b/>
        </w:rPr>
      </w:pPr>
    </w:p>
    <w:p w14:paraId="598BEEF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The Court’s understanding </w:t>
      </w:r>
    </w:p>
    <w:p w14:paraId="685A605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Hon'ble Supreme Court of In</w:t>
      </w:r>
      <w:r>
        <w:rPr>
          <w:rFonts w:ascii="Times New Roman" w:eastAsia="Times New Roman" w:hAnsi="Times New Roman" w:cs="Times New Roman"/>
        </w:rPr>
        <w:t>dia outlined the two above-mentioned issues. The claim of estrangement was accepted by the Apex Court as satisfactory evidence was presented by the appellants showing that there was no personal or professional connect left between the parties and the compa</w:t>
      </w:r>
      <w:r>
        <w:rPr>
          <w:rFonts w:ascii="Times New Roman" w:eastAsia="Times New Roman" w:hAnsi="Times New Roman" w:cs="Times New Roman"/>
        </w:rPr>
        <w:t xml:space="preserve">ny. SEBI fell short in proving that these individuals were connected to Balram Garg, who allegedly communicated and gave them access to the USPI. </w:t>
      </w:r>
    </w:p>
    <w:p w14:paraId="6E2F3D80" w14:textId="77777777" w:rsidR="00EE2CB2" w:rsidRDefault="00EE2CB2">
      <w:pPr>
        <w:jc w:val="both"/>
        <w:rPr>
          <w:rFonts w:ascii="Times New Roman" w:eastAsia="Times New Roman" w:hAnsi="Times New Roman" w:cs="Times New Roman"/>
        </w:rPr>
      </w:pPr>
    </w:p>
    <w:p w14:paraId="25574B6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claim of it being SEBI’s duty to successfully establish if communication of the USPI took place, was sus</w:t>
      </w:r>
      <w:r>
        <w:rPr>
          <w:rFonts w:ascii="Times New Roman" w:eastAsia="Times New Roman" w:hAnsi="Times New Roman" w:cs="Times New Roman"/>
        </w:rPr>
        <w:t xml:space="preserve">tained by the Court, which upheld the claim that SEBI did not prove the existence of communication adequately. Communication links like emails, letters, call records,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were not presented to sufficiently prove that such an exchange of sensitive, unpublis</w:t>
      </w:r>
      <w:r>
        <w:rPr>
          <w:rFonts w:ascii="Times New Roman" w:eastAsia="Times New Roman" w:hAnsi="Times New Roman" w:cs="Times New Roman"/>
        </w:rPr>
        <w:t xml:space="preserve">hed data took place, and therefore the claim that trading took place on the basis of such intel, also collapsed. </w:t>
      </w:r>
    </w:p>
    <w:p w14:paraId="20F4FB59" w14:textId="77777777" w:rsidR="00EE2CB2" w:rsidRDefault="00EE2CB2">
      <w:pPr>
        <w:jc w:val="both"/>
        <w:rPr>
          <w:rFonts w:ascii="Times New Roman" w:eastAsia="Times New Roman" w:hAnsi="Times New Roman" w:cs="Times New Roman"/>
        </w:rPr>
      </w:pPr>
    </w:p>
    <w:p w14:paraId="715B570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Analysis </w:t>
      </w:r>
    </w:p>
    <w:p w14:paraId="58259AC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Court arrived at the decision with a two-fold approach of looking at things - whether the alleged sensitive information was act</w:t>
      </w:r>
      <w:r>
        <w:rPr>
          <w:rFonts w:ascii="Times New Roman" w:eastAsia="Times New Roman" w:hAnsi="Times New Roman" w:cs="Times New Roman"/>
        </w:rPr>
        <w:t>ually communicated and concrete evidence (not present) and if there was estrangement between the parties and proof of that (present). This decision shows that an authority cannot arbitrarily allege and ‘punish’ someone and get away with it without having s</w:t>
      </w:r>
      <w:r>
        <w:rPr>
          <w:rFonts w:ascii="Times New Roman" w:eastAsia="Times New Roman" w:hAnsi="Times New Roman" w:cs="Times New Roman"/>
        </w:rPr>
        <w:t xml:space="preserve">trong evidence (not circumstantial). </w:t>
      </w:r>
    </w:p>
    <w:p w14:paraId="74813423" w14:textId="77777777" w:rsidR="00EE2CB2" w:rsidRDefault="00EE2CB2">
      <w:pPr>
        <w:jc w:val="both"/>
        <w:rPr>
          <w:rFonts w:ascii="Times New Roman" w:eastAsia="Times New Roman" w:hAnsi="Times New Roman" w:cs="Times New Roman"/>
          <w:b/>
        </w:rPr>
      </w:pPr>
    </w:p>
    <w:p w14:paraId="1BBA1A14"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Conclusion </w:t>
      </w:r>
    </w:p>
    <w:p w14:paraId="4D873261" w14:textId="77777777" w:rsidR="00EE2CB2" w:rsidRDefault="00EE2CB2">
      <w:pPr>
        <w:jc w:val="both"/>
        <w:rPr>
          <w:rFonts w:ascii="Times New Roman" w:eastAsia="Times New Roman" w:hAnsi="Times New Roman" w:cs="Times New Roman"/>
        </w:rPr>
      </w:pPr>
    </w:p>
    <w:p w14:paraId="56A48728"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SC decided against the judgement and final orders of WTM and SAT and adjudicated </w:t>
      </w:r>
      <w:proofErr w:type="gramStart"/>
      <w:r>
        <w:rPr>
          <w:rFonts w:ascii="Times New Roman" w:eastAsia="Times New Roman" w:hAnsi="Times New Roman" w:cs="Times New Roman"/>
        </w:rPr>
        <w:t>that deposits</w:t>
      </w:r>
      <w:proofErr w:type="gramEnd"/>
      <w:r>
        <w:rPr>
          <w:rFonts w:ascii="Times New Roman" w:eastAsia="Times New Roman" w:hAnsi="Times New Roman" w:cs="Times New Roman"/>
        </w:rPr>
        <w:t xml:space="preserve"> on behalf of the appellants will be refunded back to the parties. It iterated that mere proximity could not be conclusive evidence of insider training.</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w:t>
      </w:r>
    </w:p>
    <w:p w14:paraId="00E1F429" w14:textId="77777777" w:rsidR="00EE2CB2" w:rsidRDefault="00EE2CB2">
      <w:pPr>
        <w:jc w:val="both"/>
        <w:rPr>
          <w:rFonts w:ascii="Times New Roman" w:eastAsia="Times New Roman" w:hAnsi="Times New Roman" w:cs="Times New Roman"/>
          <w:b/>
        </w:rPr>
      </w:pPr>
    </w:p>
    <w:p w14:paraId="77606836" w14:textId="60BE2136" w:rsidR="00EE2CB2" w:rsidRDefault="00EE2CB2">
      <w:pPr>
        <w:jc w:val="both"/>
        <w:rPr>
          <w:rFonts w:ascii="Times New Roman" w:eastAsia="Times New Roman" w:hAnsi="Times New Roman" w:cs="Times New Roman"/>
          <w:b/>
        </w:rPr>
      </w:pPr>
    </w:p>
    <w:p w14:paraId="790D0A07" w14:textId="0446A096" w:rsidR="00CE1504" w:rsidRDefault="00CE1504">
      <w:pPr>
        <w:jc w:val="both"/>
        <w:rPr>
          <w:rFonts w:ascii="Times New Roman" w:eastAsia="Times New Roman" w:hAnsi="Times New Roman" w:cs="Times New Roman"/>
          <w:b/>
        </w:rPr>
      </w:pPr>
    </w:p>
    <w:p w14:paraId="248B5FA7" w14:textId="77777777" w:rsidR="00CE1504" w:rsidRDefault="00CE1504">
      <w:pPr>
        <w:jc w:val="both"/>
        <w:rPr>
          <w:rFonts w:ascii="Times New Roman" w:eastAsia="Times New Roman" w:hAnsi="Times New Roman" w:cs="Times New Roman"/>
          <w:b/>
        </w:rPr>
      </w:pPr>
    </w:p>
    <w:p w14:paraId="488ADCF9" w14:textId="77777777" w:rsidR="00EE2CB2" w:rsidRDefault="00BD18D0">
      <w:pPr>
        <w:ind w:left="720"/>
        <w:jc w:val="both"/>
        <w:rPr>
          <w:rFonts w:ascii="Times New Roman" w:eastAsia="Times New Roman" w:hAnsi="Times New Roman" w:cs="Times New Roman"/>
          <w:b/>
        </w:rPr>
      </w:pPr>
      <w:r>
        <w:rPr>
          <w:rFonts w:ascii="Times New Roman" w:eastAsia="Times New Roman" w:hAnsi="Times New Roman" w:cs="Times New Roman"/>
          <w:b/>
        </w:rPr>
        <w:lastRenderedPageBreak/>
        <w:t>2. SAT lifts curbs imposed by SEBI on Infosys officials for alleged insider trading</w:t>
      </w:r>
    </w:p>
    <w:p w14:paraId="124C1D7E" w14:textId="77777777" w:rsidR="00EE2CB2" w:rsidRDefault="00EE2CB2">
      <w:pPr>
        <w:jc w:val="both"/>
        <w:rPr>
          <w:rFonts w:ascii="Times New Roman" w:eastAsia="Times New Roman" w:hAnsi="Times New Roman" w:cs="Times New Roman"/>
          <w:b/>
        </w:rPr>
      </w:pPr>
    </w:p>
    <w:p w14:paraId="0D1426DF"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Mumbai's Se</w:t>
      </w:r>
      <w:r>
        <w:rPr>
          <w:rFonts w:ascii="Times New Roman" w:eastAsia="Times New Roman" w:hAnsi="Times New Roman" w:cs="Times New Roman"/>
        </w:rPr>
        <w:t xml:space="preserve">curities Appellate Tribunal (SAT) in the case of </w:t>
      </w:r>
      <w:r>
        <w:rPr>
          <w:rFonts w:ascii="Times New Roman" w:eastAsia="Times New Roman" w:hAnsi="Times New Roman" w:cs="Times New Roman"/>
          <w:i/>
        </w:rPr>
        <w:t xml:space="preserve">Mr. </w:t>
      </w:r>
      <w:proofErr w:type="spellStart"/>
      <w:r>
        <w:rPr>
          <w:rFonts w:ascii="Times New Roman" w:eastAsia="Times New Roman" w:hAnsi="Times New Roman" w:cs="Times New Roman"/>
          <w:i/>
        </w:rPr>
        <w:t>Pranshu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Bhutra</w:t>
      </w:r>
      <w:proofErr w:type="spellEnd"/>
      <w:r>
        <w:rPr>
          <w:rFonts w:ascii="Times New Roman" w:eastAsia="Times New Roman" w:hAnsi="Times New Roman" w:cs="Times New Roman"/>
          <w:i/>
        </w:rPr>
        <w:t xml:space="preserve"> v. SEBI</w:t>
      </w:r>
      <w:r>
        <w:rPr>
          <w:rFonts w:ascii="Times New Roman" w:eastAsia="Times New Roman" w:hAnsi="Times New Roman" w:cs="Times New Roman"/>
          <w:i/>
          <w:vertAlign w:val="superscript"/>
        </w:rPr>
        <w:footnoteReference w:id="24"/>
      </w:r>
      <w:r>
        <w:rPr>
          <w:rFonts w:ascii="Times New Roman" w:eastAsia="Times New Roman" w:hAnsi="Times New Roman" w:cs="Times New Roman"/>
          <w:i/>
        </w:rPr>
        <w:t xml:space="preserve"> </w:t>
      </w:r>
      <w:r>
        <w:rPr>
          <w:rFonts w:ascii="Times New Roman" w:eastAsia="Times New Roman" w:hAnsi="Times New Roman" w:cs="Times New Roman"/>
        </w:rPr>
        <w:t xml:space="preserve">while lifting the ban on employees of Infosys from buying or selling securities imposed by SEBI for allegedly violating insider trading regulations, the Coram of Justice </w:t>
      </w:r>
      <w:proofErr w:type="spellStart"/>
      <w:r>
        <w:rPr>
          <w:rFonts w:ascii="Times New Roman" w:eastAsia="Times New Roman" w:hAnsi="Times New Roman" w:cs="Times New Roman"/>
        </w:rPr>
        <w:t>Tarun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w:t>
      </w:r>
      <w:r>
        <w:rPr>
          <w:rFonts w:ascii="Times New Roman" w:eastAsia="Times New Roman" w:hAnsi="Times New Roman" w:cs="Times New Roman"/>
        </w:rPr>
        <w:t>arwala</w:t>
      </w:r>
      <w:proofErr w:type="spellEnd"/>
      <w:r>
        <w:rPr>
          <w:rFonts w:ascii="Times New Roman" w:eastAsia="Times New Roman" w:hAnsi="Times New Roman" w:cs="Times New Roman"/>
        </w:rPr>
        <w:t xml:space="preserve"> (Presiding Officer) and Justice M.T. Joshi (Judicial Member) reaffirmed the established law that the burden of proof is always on the prosecution, SEBI, to prove that he had access to UPSI.</w:t>
      </w:r>
    </w:p>
    <w:p w14:paraId="5923E00C" w14:textId="77777777" w:rsidR="00EE2CB2" w:rsidRDefault="00EE2CB2">
      <w:pPr>
        <w:jc w:val="both"/>
        <w:rPr>
          <w:rFonts w:ascii="Times New Roman" w:eastAsia="Times New Roman" w:hAnsi="Times New Roman" w:cs="Times New Roman"/>
          <w:b/>
        </w:rPr>
      </w:pPr>
    </w:p>
    <w:p w14:paraId="50571E8D"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Issue</w:t>
      </w:r>
    </w:p>
    <w:p w14:paraId="393BDA2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SEBI examined trading activities of two partnership </w:t>
      </w:r>
      <w:r>
        <w:rPr>
          <w:rFonts w:ascii="Times New Roman" w:eastAsia="Times New Roman" w:hAnsi="Times New Roman" w:cs="Times New Roman"/>
        </w:rPr>
        <w:t xml:space="preserve">firms namely, M/s Capital One Partners and M/s </w:t>
      </w:r>
      <w:proofErr w:type="spellStart"/>
      <w:r>
        <w:rPr>
          <w:rFonts w:ascii="Times New Roman" w:eastAsia="Times New Roman" w:hAnsi="Times New Roman" w:cs="Times New Roman"/>
        </w:rPr>
        <w:t>Tesora</w:t>
      </w:r>
      <w:proofErr w:type="spellEnd"/>
      <w:r>
        <w:rPr>
          <w:rFonts w:ascii="Times New Roman" w:eastAsia="Times New Roman" w:hAnsi="Times New Roman" w:cs="Times New Roman"/>
        </w:rPr>
        <w:t xml:space="preserve"> Capital in relation to Infosys Ltd. Audited financial results were released by Infosys on 15th July, 2020. </w:t>
      </w:r>
    </w:p>
    <w:p w14:paraId="482D8062"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said information was Unpublished Price Sensitive Information (UPSI). The </w:t>
      </w:r>
      <w:r>
        <w:rPr>
          <w:rFonts w:ascii="Times New Roman" w:eastAsia="Times New Roman" w:hAnsi="Times New Roman" w:cs="Times New Roman"/>
        </w:rPr>
        <w:t>appellant was reasonably presumed to have access to the UPSI on probability basis and was considered as an insider under Regulation 2(1)(g) of the PIT Regulations.</w:t>
      </w:r>
    </w:p>
    <w:p w14:paraId="14A30480" w14:textId="77777777" w:rsidR="00EE2CB2" w:rsidRDefault="00EE2CB2">
      <w:pPr>
        <w:jc w:val="both"/>
        <w:rPr>
          <w:rFonts w:ascii="Times New Roman" w:eastAsia="Times New Roman" w:hAnsi="Times New Roman" w:cs="Times New Roman"/>
        </w:rPr>
      </w:pPr>
    </w:p>
    <w:p w14:paraId="4CF04E42"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Employees at Infosys were not allowed to acquire or sell the company's stock: SEBI </w:t>
      </w:r>
    </w:p>
    <w:p w14:paraId="39F716D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Venkata</w:t>
      </w:r>
      <w:r>
        <w:rPr>
          <w:rFonts w:ascii="Times New Roman" w:eastAsia="Times New Roman" w:hAnsi="Times New Roman" w:cs="Times New Roman"/>
        </w:rPr>
        <w:t xml:space="preserve"> Subramaniam is the senior principal of Infosys' corporate accounting group, and </w:t>
      </w:r>
      <w:proofErr w:type="spellStart"/>
      <w:r>
        <w:rPr>
          <w:rFonts w:ascii="Times New Roman" w:eastAsia="Times New Roman" w:hAnsi="Times New Roman" w:cs="Times New Roman"/>
        </w:rPr>
        <w:t>Bhutra</w:t>
      </w:r>
      <w:proofErr w:type="spellEnd"/>
      <w:r>
        <w:rPr>
          <w:rFonts w:ascii="Times New Roman" w:eastAsia="Times New Roman" w:hAnsi="Times New Roman" w:cs="Times New Roman"/>
        </w:rPr>
        <w:t xml:space="preserve"> is the senior corporate counsel. They were barred from buying or selling Infosys stock until further instructions were issued by SEBI. On the 15th of September last yea</w:t>
      </w:r>
      <w:r>
        <w:rPr>
          <w:rFonts w:ascii="Times New Roman" w:eastAsia="Times New Roman" w:hAnsi="Times New Roman" w:cs="Times New Roman"/>
        </w:rPr>
        <w:t xml:space="preserve">r, the SEBI issued an </w:t>
      </w:r>
      <w:proofErr w:type="gramStart"/>
      <w:r>
        <w:rPr>
          <w:rFonts w:ascii="Times New Roman" w:eastAsia="Times New Roman" w:hAnsi="Times New Roman" w:cs="Times New Roman"/>
        </w:rPr>
        <w:t>order barring Infosys workers</w:t>
      </w:r>
      <w:proofErr w:type="gramEnd"/>
      <w:r>
        <w:rPr>
          <w:rFonts w:ascii="Times New Roman" w:eastAsia="Times New Roman" w:hAnsi="Times New Roman" w:cs="Times New Roman"/>
        </w:rPr>
        <w:t xml:space="preserve"> from trading due to charges of insider trading breaches.</w:t>
      </w:r>
    </w:p>
    <w:p w14:paraId="5733056C" w14:textId="77777777" w:rsidR="00EE2CB2" w:rsidRDefault="00EE2CB2">
      <w:pPr>
        <w:jc w:val="both"/>
        <w:rPr>
          <w:rFonts w:ascii="Times New Roman" w:eastAsia="Times New Roman" w:hAnsi="Times New Roman" w:cs="Times New Roman"/>
        </w:rPr>
      </w:pPr>
    </w:p>
    <w:p w14:paraId="5B63F499" w14:textId="77777777" w:rsidR="00EE2CB2" w:rsidRDefault="00EE2CB2">
      <w:pPr>
        <w:jc w:val="both"/>
        <w:rPr>
          <w:rFonts w:ascii="Times New Roman" w:eastAsia="Times New Roman" w:hAnsi="Times New Roman" w:cs="Times New Roman"/>
          <w:b/>
        </w:rPr>
      </w:pPr>
    </w:p>
    <w:p w14:paraId="24AB6EC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Judgement</w:t>
      </w:r>
      <w:r>
        <w:rPr>
          <w:rFonts w:ascii="Times New Roman" w:eastAsia="Times New Roman" w:hAnsi="Times New Roman" w:cs="Times New Roman"/>
        </w:rPr>
        <w:t xml:space="preserve"> </w:t>
      </w:r>
    </w:p>
    <w:p w14:paraId="5FC63A1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"We are of the opinion that debarring a person from accessing the securities market at this point is not justifiable given the facts o</w:t>
      </w:r>
      <w:r>
        <w:rPr>
          <w:rFonts w:ascii="Times New Roman" w:eastAsia="Times New Roman" w:hAnsi="Times New Roman" w:cs="Times New Roman"/>
        </w:rPr>
        <w:t xml:space="preserve">f the case," a Bench led by Justice </w:t>
      </w:r>
      <w:proofErr w:type="spellStart"/>
      <w:r>
        <w:rPr>
          <w:rFonts w:ascii="Times New Roman" w:eastAsia="Times New Roman" w:hAnsi="Times New Roman" w:cs="Times New Roman"/>
        </w:rPr>
        <w:t>Tarun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Agarwala</w:t>
      </w:r>
      <w:proofErr w:type="spellEnd"/>
      <w:r>
        <w:rPr>
          <w:rFonts w:ascii="Times New Roman" w:eastAsia="Times New Roman" w:hAnsi="Times New Roman" w:cs="Times New Roman"/>
        </w:rPr>
        <w:t xml:space="preserve"> said while quashing SEBI's confirmation order.</w:t>
      </w:r>
    </w:p>
    <w:p w14:paraId="52AF3DC0" w14:textId="77777777" w:rsidR="00EE2CB2" w:rsidRDefault="00EE2CB2">
      <w:pPr>
        <w:jc w:val="both"/>
        <w:rPr>
          <w:rFonts w:ascii="Times New Roman" w:eastAsia="Times New Roman" w:hAnsi="Times New Roman" w:cs="Times New Roman"/>
          <w:b/>
        </w:rPr>
      </w:pPr>
    </w:p>
    <w:p w14:paraId="27E0CDD6"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There is no evidence, either direct or indirect.</w:t>
      </w:r>
    </w:p>
    <w:p w14:paraId="76455179"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rPr>
        <w:t>The tribunal stated that, in the absence of any direct or indirect evidence coming forward at this stage, an</w:t>
      </w:r>
      <w:r>
        <w:rPr>
          <w:rFonts w:ascii="Times New Roman" w:eastAsia="Times New Roman" w:hAnsi="Times New Roman" w:cs="Times New Roman"/>
        </w:rPr>
        <w:t>d because the investigation is still ongoing, the continuation of the interim order against the appellant is unjustified, especially since the appellant has not traded in the scrip (It is a form of legal money that permits the bearer to receive something i</w:t>
      </w:r>
      <w:r>
        <w:rPr>
          <w:rFonts w:ascii="Times New Roman" w:eastAsia="Times New Roman" w:hAnsi="Times New Roman" w:cs="Times New Roman"/>
        </w:rPr>
        <w:t xml:space="preserve">n exchange for it) and there is no finding that he is a party to unlawful gain. </w:t>
      </w:r>
    </w:p>
    <w:p w14:paraId="5C537AC7" w14:textId="77777777" w:rsidR="00EE2CB2" w:rsidRDefault="00EE2CB2">
      <w:pPr>
        <w:jc w:val="both"/>
        <w:rPr>
          <w:rFonts w:ascii="Times New Roman" w:eastAsia="Times New Roman" w:hAnsi="Times New Roman" w:cs="Times New Roman"/>
          <w:b/>
        </w:rPr>
      </w:pPr>
    </w:p>
    <w:p w14:paraId="43A34224" w14:textId="0CB67ACB" w:rsidR="00EE2CB2" w:rsidRPr="00CE1504" w:rsidRDefault="00BD18D0" w:rsidP="00CE1504">
      <w:pPr>
        <w:ind w:left="720"/>
        <w:jc w:val="both"/>
        <w:rPr>
          <w:rFonts w:ascii="Times New Roman" w:eastAsia="Times New Roman" w:hAnsi="Times New Roman" w:cs="Times New Roman"/>
          <w:b/>
        </w:rPr>
      </w:pPr>
      <w:r>
        <w:rPr>
          <w:rFonts w:ascii="Times New Roman" w:eastAsia="Times New Roman" w:hAnsi="Times New Roman" w:cs="Times New Roman"/>
          <w:b/>
        </w:rPr>
        <w:t>3. SAT vs SEBI - The Power Struggle</w:t>
      </w:r>
      <w:r>
        <w:rPr>
          <w:rFonts w:ascii="Times New Roman" w:eastAsia="Times New Roman" w:hAnsi="Times New Roman" w:cs="Times New Roman"/>
          <w:vertAlign w:val="superscript"/>
        </w:rPr>
        <w:footnoteReference w:id="25"/>
      </w:r>
    </w:p>
    <w:p w14:paraId="692D2A14" w14:textId="77777777" w:rsidR="00EE2CB2" w:rsidRDefault="00EE2CB2">
      <w:pPr>
        <w:jc w:val="both"/>
        <w:rPr>
          <w:rFonts w:ascii="Times New Roman" w:eastAsia="Times New Roman" w:hAnsi="Times New Roman" w:cs="Times New Roman"/>
        </w:rPr>
      </w:pPr>
    </w:p>
    <w:p w14:paraId="04B43AA7"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Summary </w:t>
      </w:r>
    </w:p>
    <w:p w14:paraId="113AD60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Recently, SEBI has claimed in front of the Supreme Court that SAT lacks jurisdiction and authority to impose costs on </w:t>
      </w:r>
      <w:r>
        <w:rPr>
          <w:rFonts w:ascii="Times New Roman" w:eastAsia="Times New Roman" w:hAnsi="Times New Roman" w:cs="Times New Roman"/>
        </w:rPr>
        <w:t>SEBI.</w:t>
      </w:r>
    </w:p>
    <w:p w14:paraId="1931E80C" w14:textId="77777777" w:rsidR="00EE2CB2" w:rsidRDefault="00EE2CB2">
      <w:pPr>
        <w:jc w:val="both"/>
        <w:rPr>
          <w:rFonts w:ascii="Times New Roman" w:eastAsia="Times New Roman" w:hAnsi="Times New Roman" w:cs="Times New Roman"/>
        </w:rPr>
      </w:pPr>
    </w:p>
    <w:p w14:paraId="2A9FC07E"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4DA87B1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Whenever </w:t>
      </w:r>
      <w:proofErr w:type="gramStart"/>
      <w:r>
        <w:rPr>
          <w:rFonts w:ascii="Times New Roman" w:eastAsia="Times New Roman" w:hAnsi="Times New Roman" w:cs="Times New Roman"/>
        </w:rPr>
        <w:t>the  Securities</w:t>
      </w:r>
      <w:proofErr w:type="gramEnd"/>
      <w:r>
        <w:rPr>
          <w:rFonts w:ascii="Times New Roman" w:eastAsia="Times New Roman" w:hAnsi="Times New Roman" w:cs="Times New Roman"/>
        </w:rPr>
        <w:t xml:space="preserve"> Appellate Tribunal (SAT) </w:t>
      </w:r>
      <w:proofErr w:type="spellStart"/>
      <w:r>
        <w:rPr>
          <w:rFonts w:ascii="Times New Roman" w:eastAsia="Times New Roman" w:hAnsi="Times New Roman" w:cs="Times New Roman"/>
        </w:rPr>
        <w:t>criticises</w:t>
      </w:r>
      <w:proofErr w:type="spellEnd"/>
      <w:r>
        <w:rPr>
          <w:rFonts w:ascii="Times New Roman" w:eastAsia="Times New Roman" w:hAnsi="Times New Roman" w:cs="Times New Roman"/>
        </w:rPr>
        <w:t xml:space="preserve"> and contradicts the market regulator, SEBI appeals to the Supreme Court (SC) of India, where it is represented by dignitaries like the Attorney General of India, the Solicitor</w:t>
      </w:r>
      <w:r>
        <w:rPr>
          <w:rFonts w:ascii="Times New Roman" w:eastAsia="Times New Roman" w:hAnsi="Times New Roman" w:cs="Times New Roman"/>
        </w:rPr>
        <w:t xml:space="preserve"> General of India, and more. </w:t>
      </w:r>
    </w:p>
    <w:p w14:paraId="5386E89D" w14:textId="77777777" w:rsidR="00EE2CB2" w:rsidRDefault="00EE2CB2">
      <w:pPr>
        <w:jc w:val="both"/>
        <w:rPr>
          <w:rFonts w:ascii="Times New Roman" w:eastAsia="Times New Roman" w:hAnsi="Times New Roman" w:cs="Times New Roman"/>
        </w:rPr>
      </w:pPr>
    </w:p>
    <w:p w14:paraId="79969EE8"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High profile cases like </w:t>
      </w:r>
      <w:proofErr w:type="spellStart"/>
      <w:r>
        <w:rPr>
          <w:rFonts w:ascii="Times New Roman" w:eastAsia="Times New Roman" w:hAnsi="Times New Roman" w:cs="Times New Roman"/>
        </w:rPr>
        <w:t>Palco</w:t>
      </w:r>
      <w:proofErr w:type="spellEnd"/>
      <w:r>
        <w:rPr>
          <w:rFonts w:ascii="Times New Roman" w:eastAsia="Times New Roman" w:hAnsi="Times New Roman" w:cs="Times New Roman"/>
        </w:rPr>
        <w:t xml:space="preserve"> Metals Limited, </w:t>
      </w:r>
      <w:proofErr w:type="spellStart"/>
      <w:r>
        <w:rPr>
          <w:rFonts w:ascii="Times New Roman" w:eastAsia="Times New Roman" w:hAnsi="Times New Roman" w:cs="Times New Roman"/>
        </w:rPr>
        <w:t>Sawaca</w:t>
      </w:r>
      <w:proofErr w:type="spellEnd"/>
      <w:r>
        <w:rPr>
          <w:rFonts w:ascii="Times New Roman" w:eastAsia="Times New Roman" w:hAnsi="Times New Roman" w:cs="Times New Roman"/>
        </w:rPr>
        <w:t xml:space="preserve"> Business Machines Limited, Goldman Sachs,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were appealed in the SC against imposition of costs on itself, but the costs were either set aside as unwarranted, or the Resp</w:t>
      </w:r>
      <w:r>
        <w:rPr>
          <w:rFonts w:ascii="Times New Roman" w:eastAsia="Times New Roman" w:hAnsi="Times New Roman" w:cs="Times New Roman"/>
        </w:rPr>
        <w:t xml:space="preserve">ondents (private parties) agreed not to recover the costs from SEBI. The same pattern can be seen in the present case - </w:t>
      </w:r>
      <w:r>
        <w:rPr>
          <w:rFonts w:ascii="Times New Roman" w:eastAsia="Times New Roman" w:hAnsi="Times New Roman" w:cs="Times New Roman"/>
          <w:i/>
        </w:rPr>
        <w:t xml:space="preserve">SEBI vs Vital Communications Ltd &amp; </w:t>
      </w:r>
      <w:proofErr w:type="spellStart"/>
      <w:r>
        <w:rPr>
          <w:rFonts w:ascii="Times New Roman" w:eastAsia="Times New Roman" w:hAnsi="Times New Roman" w:cs="Times New Roman"/>
          <w:i/>
        </w:rPr>
        <w:t>Ors</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w:t>
      </w:r>
    </w:p>
    <w:p w14:paraId="225B1C40" w14:textId="77777777" w:rsidR="00EE2CB2" w:rsidRDefault="00EE2CB2">
      <w:pPr>
        <w:jc w:val="both"/>
        <w:rPr>
          <w:rFonts w:ascii="Times New Roman" w:eastAsia="Times New Roman" w:hAnsi="Times New Roman" w:cs="Times New Roman"/>
        </w:rPr>
      </w:pPr>
    </w:p>
    <w:p w14:paraId="1C57815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There has always been a desire for a cost-benefit analysis before SEBI is allowed to file an</w:t>
      </w:r>
      <w:r>
        <w:rPr>
          <w:rFonts w:ascii="Times New Roman" w:eastAsia="Times New Roman" w:hAnsi="Times New Roman" w:cs="Times New Roman"/>
        </w:rPr>
        <w:t xml:space="preserve"> appeal with public funds before the Supreme Court of India. SAT has imposed costs on a multitude of authorities like SEBI, National Stock Exchange and the Bombay Stock Exchange. In none of these judgments, the Apex Court has addressed the legal matter of </w:t>
      </w:r>
      <w:r>
        <w:rPr>
          <w:rFonts w:ascii="Times New Roman" w:eastAsia="Times New Roman" w:hAnsi="Times New Roman" w:cs="Times New Roman"/>
        </w:rPr>
        <w:t xml:space="preserve">SAT’s ability to impose costs on SEBI and its limitations, if any. </w:t>
      </w:r>
    </w:p>
    <w:p w14:paraId="640ABCE0" w14:textId="77777777" w:rsidR="00EE2CB2" w:rsidRDefault="00EE2CB2">
      <w:pPr>
        <w:jc w:val="both"/>
        <w:rPr>
          <w:rFonts w:ascii="Times New Roman" w:eastAsia="Times New Roman" w:hAnsi="Times New Roman" w:cs="Times New Roman"/>
        </w:rPr>
      </w:pPr>
    </w:p>
    <w:p w14:paraId="0AFCD364"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But SAT has underlined that cogent data has to be put out in order for SAT to assess the expenses. The level of costs requested by the private party from SEBI in MLB Financial Services Li</w:t>
      </w:r>
      <w:r>
        <w:rPr>
          <w:rFonts w:ascii="Times New Roman" w:eastAsia="Times New Roman" w:hAnsi="Times New Roman" w:cs="Times New Roman"/>
        </w:rPr>
        <w:t>mited was rejected because there was inadequate evidence to establish the actual amount of cost spent by them. As a result, SAT assessed and levied an anticipated fee of INR 50,000 on SEBI.</w:t>
      </w:r>
      <w:r>
        <w:rPr>
          <w:rFonts w:ascii="Times New Roman" w:eastAsia="Times New Roman" w:hAnsi="Times New Roman" w:cs="Times New Roman"/>
          <w:vertAlign w:val="superscript"/>
        </w:rPr>
        <w:footnoteReference w:id="27"/>
      </w:r>
    </w:p>
    <w:p w14:paraId="20465A07" w14:textId="77777777" w:rsidR="00EE2CB2" w:rsidRDefault="00EE2CB2">
      <w:pPr>
        <w:jc w:val="both"/>
        <w:rPr>
          <w:rFonts w:ascii="Times New Roman" w:eastAsia="Times New Roman" w:hAnsi="Times New Roman" w:cs="Times New Roman"/>
        </w:rPr>
      </w:pPr>
    </w:p>
    <w:p w14:paraId="45F888F2"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A step forward - A needed judgement? </w:t>
      </w:r>
    </w:p>
    <w:p w14:paraId="6AAA93EA"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In this context, it is wo</w:t>
      </w:r>
      <w:r>
        <w:rPr>
          <w:rFonts w:ascii="Times New Roman" w:eastAsia="Times New Roman" w:hAnsi="Times New Roman" w:cs="Times New Roman"/>
        </w:rPr>
        <w:t xml:space="preserve">rth noting that a recent order, in the issue of </w:t>
      </w:r>
      <w:r>
        <w:rPr>
          <w:rFonts w:ascii="Times New Roman" w:eastAsia="Times New Roman" w:hAnsi="Times New Roman" w:cs="Times New Roman"/>
          <w:i/>
        </w:rPr>
        <w:t>Vital Communications Limited vs SEBI (‘The Vital Communications Case’)</w:t>
      </w:r>
      <w:r>
        <w:rPr>
          <w:rFonts w:ascii="Times New Roman" w:eastAsia="Times New Roman" w:hAnsi="Times New Roman" w:cs="Times New Roman"/>
        </w:rPr>
        <w:t>, has once again imposed costs on SEBI, who immediately went to the Supreme Court and secured a stay. Despite the several lawsuits filed s</w:t>
      </w:r>
      <w:r>
        <w:rPr>
          <w:rFonts w:ascii="Times New Roman" w:eastAsia="Times New Roman" w:hAnsi="Times New Roman" w:cs="Times New Roman"/>
        </w:rPr>
        <w:t>ince the first SCN was issued in 2005, it is still under appeal in the Supreme Court with respect to SEBI's appeal on costs imposed and is scheduled for ultimate disposition on July 27, 2022. If the Supreme Court decides to look into the legal issues, this</w:t>
      </w:r>
      <w:r>
        <w:rPr>
          <w:rFonts w:ascii="Times New Roman" w:eastAsia="Times New Roman" w:hAnsi="Times New Roman" w:cs="Times New Roman"/>
        </w:rPr>
        <w:t xml:space="preserve"> might be a watershed decision, outlining the limits of the SAT's civil authority over SEBI.</w:t>
      </w:r>
    </w:p>
    <w:p w14:paraId="3523C9DF" w14:textId="77777777" w:rsidR="00EE2CB2" w:rsidRDefault="00EE2CB2">
      <w:pPr>
        <w:jc w:val="both"/>
        <w:rPr>
          <w:rFonts w:ascii="Times New Roman" w:eastAsia="Times New Roman" w:hAnsi="Times New Roman" w:cs="Times New Roman"/>
        </w:rPr>
      </w:pPr>
    </w:p>
    <w:p w14:paraId="39042F2D"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Conclusion</w:t>
      </w:r>
      <w:r>
        <w:rPr>
          <w:rFonts w:ascii="Times New Roman" w:eastAsia="Times New Roman" w:hAnsi="Times New Roman" w:cs="Times New Roman"/>
          <w:b/>
          <w:highlight w:val="white"/>
          <w:vertAlign w:val="superscript"/>
        </w:rPr>
        <w:footnoteReference w:id="28"/>
      </w:r>
    </w:p>
    <w:p w14:paraId="7092AFE8"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Statistically, SAT upholds the majority of SEBI orders, with just a small minority in </w:t>
      </w:r>
      <w:proofErr w:type="spellStart"/>
      <w:r>
        <w:rPr>
          <w:rFonts w:ascii="Times New Roman" w:eastAsia="Times New Roman" w:hAnsi="Times New Roman" w:cs="Times New Roman"/>
          <w:highlight w:val="white"/>
        </w:rPr>
        <w:t>favour</w:t>
      </w:r>
      <w:proofErr w:type="spellEnd"/>
      <w:r>
        <w:rPr>
          <w:rFonts w:ascii="Times New Roman" w:eastAsia="Times New Roman" w:hAnsi="Times New Roman" w:cs="Times New Roman"/>
          <w:highlight w:val="white"/>
        </w:rPr>
        <w:t xml:space="preserve"> of private parties. According to SEBI's annual report for the fiscal year 2020-21, its orders were clearly sustained in almost 60% of the appeals. Almost 82% of th</w:t>
      </w:r>
      <w:r>
        <w:rPr>
          <w:rFonts w:ascii="Times New Roman" w:eastAsia="Times New Roman" w:hAnsi="Times New Roman" w:cs="Times New Roman"/>
          <w:highlight w:val="white"/>
        </w:rPr>
        <w:t xml:space="preserve">e appeals decided were in </w:t>
      </w:r>
      <w:proofErr w:type="spellStart"/>
      <w:r>
        <w:rPr>
          <w:rFonts w:ascii="Times New Roman" w:eastAsia="Times New Roman" w:hAnsi="Times New Roman" w:cs="Times New Roman"/>
          <w:highlight w:val="white"/>
        </w:rPr>
        <w:t>favour</w:t>
      </w:r>
      <w:proofErr w:type="spellEnd"/>
      <w:r>
        <w:rPr>
          <w:rFonts w:ascii="Times New Roman" w:eastAsia="Times New Roman" w:hAnsi="Times New Roman" w:cs="Times New Roman"/>
          <w:highlight w:val="white"/>
        </w:rPr>
        <w:t xml:space="preserve"> of SEBI in some form. </w:t>
      </w:r>
    </w:p>
    <w:p w14:paraId="467339F6" w14:textId="77777777" w:rsidR="00EE2CB2" w:rsidRDefault="00EE2CB2">
      <w:pPr>
        <w:jc w:val="both"/>
        <w:rPr>
          <w:rFonts w:ascii="Times New Roman" w:eastAsia="Times New Roman" w:hAnsi="Times New Roman" w:cs="Times New Roman"/>
          <w:highlight w:val="white"/>
        </w:rPr>
      </w:pPr>
    </w:p>
    <w:p w14:paraId="4D8374BF"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SEBI orders the parties to pay legal fees when it resolves administrative and civil procedures. Indeed, the SEBI (Settlement Proceedings) Regulations, 2018, allow SEBI to not credit these charges wit</w:t>
      </w:r>
      <w:r>
        <w:rPr>
          <w:rFonts w:ascii="Times New Roman" w:eastAsia="Times New Roman" w:hAnsi="Times New Roman" w:cs="Times New Roman"/>
          <w:highlight w:val="white"/>
        </w:rPr>
        <w:t xml:space="preserve">h the CFI and such sums remain with SEBI. This begs the question of whether SEBI may grant itself such power through its regulatory-making power while opposing SAT's power on the basis of non-explicit laws. If SEBI is granted such authority, its appellate </w:t>
      </w:r>
      <w:r>
        <w:rPr>
          <w:rFonts w:ascii="Times New Roman" w:eastAsia="Times New Roman" w:hAnsi="Times New Roman" w:cs="Times New Roman"/>
          <w:highlight w:val="white"/>
        </w:rPr>
        <w:t xml:space="preserve">body, SAT, is also granted such authority. Depriving SAT of its ability </w:t>
      </w:r>
      <w:r>
        <w:rPr>
          <w:rFonts w:ascii="Times New Roman" w:eastAsia="Times New Roman" w:hAnsi="Times New Roman" w:cs="Times New Roman"/>
          <w:highlight w:val="white"/>
        </w:rPr>
        <w:lastRenderedPageBreak/>
        <w:t>to impose charges on SEBI would undermine the balance of SEBI's broad powers under the statutory structure.</w:t>
      </w:r>
    </w:p>
    <w:p w14:paraId="4722B02F" w14:textId="77777777" w:rsidR="00EE2CB2" w:rsidRDefault="00EE2CB2">
      <w:pPr>
        <w:jc w:val="both"/>
        <w:rPr>
          <w:rFonts w:ascii="Times New Roman" w:eastAsia="Times New Roman" w:hAnsi="Times New Roman" w:cs="Times New Roman"/>
          <w:highlight w:val="white"/>
        </w:rPr>
      </w:pPr>
    </w:p>
    <w:p w14:paraId="18CDCB07"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Analysis</w:t>
      </w:r>
    </w:p>
    <w:p w14:paraId="29F277C1"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power tussle between SEBI and SAT has been ongoing for a long time, with SEBI imposing costs on defaulters, who approach SAT which overrides SEBI’s decisions and imposes costs on the regulator which ultimately catapults the dispute to the Supreme Court</w:t>
      </w:r>
      <w:r>
        <w:rPr>
          <w:rFonts w:ascii="Times New Roman" w:eastAsia="Times New Roman" w:hAnsi="Times New Roman" w:cs="Times New Roman"/>
          <w:highlight w:val="white"/>
        </w:rPr>
        <w:t xml:space="preserve"> of India. The result of this case hopefully settles the matter about the limits of interference among these authorities and eliminates redundant litigation. </w:t>
      </w:r>
    </w:p>
    <w:p w14:paraId="55E8E108" w14:textId="77777777" w:rsidR="00EE2CB2" w:rsidRDefault="00EE2CB2">
      <w:pPr>
        <w:jc w:val="both"/>
        <w:rPr>
          <w:rFonts w:ascii="Times New Roman" w:eastAsia="Times New Roman" w:hAnsi="Times New Roman" w:cs="Times New Roman"/>
          <w:highlight w:val="white"/>
        </w:rPr>
      </w:pPr>
    </w:p>
    <w:p w14:paraId="620DD967" w14:textId="77777777" w:rsidR="00EE2CB2" w:rsidRDefault="00BD18D0">
      <w:pPr>
        <w:jc w:val="both"/>
        <w:rPr>
          <w:rFonts w:ascii="Times New Roman" w:eastAsia="Times New Roman" w:hAnsi="Times New Roman" w:cs="Times New Roman"/>
          <w:highlight w:val="white"/>
        </w:rPr>
      </w:pPr>
      <w:r>
        <w:br w:type="page"/>
      </w:r>
    </w:p>
    <w:p w14:paraId="485A3B07" w14:textId="77777777" w:rsidR="00EE2CB2" w:rsidRDefault="00EE2CB2">
      <w:pPr>
        <w:jc w:val="both"/>
        <w:rPr>
          <w:rFonts w:ascii="Times New Roman" w:eastAsia="Times New Roman" w:hAnsi="Times New Roman" w:cs="Times New Roman"/>
          <w:b/>
        </w:rPr>
      </w:pPr>
    </w:p>
    <w:p w14:paraId="489769FD" w14:textId="77777777" w:rsidR="00EE2CB2" w:rsidRDefault="00BD18D0">
      <w:pPr>
        <w:jc w:val="both"/>
        <w:rPr>
          <w:rFonts w:ascii="Times New Roman" w:eastAsia="Times New Roman" w:hAnsi="Times New Roman" w:cs="Times New Roman"/>
          <w:b/>
          <w:u w:val="single"/>
        </w:rPr>
      </w:pPr>
      <w:r>
        <w:rPr>
          <w:rFonts w:ascii="Times New Roman" w:eastAsia="Times New Roman" w:hAnsi="Times New Roman" w:cs="Times New Roman"/>
          <w:b/>
          <w:u w:val="single"/>
        </w:rPr>
        <w:t>Circulars</w:t>
      </w:r>
    </w:p>
    <w:p w14:paraId="73C9DEB5" w14:textId="77777777" w:rsidR="00EE2CB2" w:rsidRDefault="00EE2CB2">
      <w:pPr>
        <w:jc w:val="both"/>
        <w:rPr>
          <w:rFonts w:ascii="Times New Roman" w:eastAsia="Times New Roman" w:hAnsi="Times New Roman" w:cs="Times New Roman"/>
          <w:b/>
          <w:u w:val="single"/>
        </w:rPr>
      </w:pPr>
    </w:p>
    <w:p w14:paraId="2271B0C1" w14:textId="77777777" w:rsidR="00EE2CB2" w:rsidRDefault="00EE2CB2">
      <w:pPr>
        <w:jc w:val="both"/>
        <w:rPr>
          <w:rFonts w:ascii="Times New Roman" w:eastAsia="Times New Roman" w:hAnsi="Times New Roman" w:cs="Times New Roman"/>
          <w:b/>
          <w:u w:val="single"/>
        </w:rPr>
      </w:pPr>
    </w:p>
    <w:p w14:paraId="7E969E45" w14:textId="77777777" w:rsidR="00EE2CB2" w:rsidRDefault="00BD18D0">
      <w:pPr>
        <w:numPr>
          <w:ilvl w:val="0"/>
          <w:numId w:val="13"/>
        </w:numPr>
        <w:jc w:val="both"/>
        <w:rPr>
          <w:rFonts w:ascii="Times New Roman" w:eastAsia="Times New Roman" w:hAnsi="Times New Roman" w:cs="Times New Roman"/>
          <w:b/>
        </w:rPr>
      </w:pPr>
      <w:r>
        <w:rPr>
          <w:rFonts w:ascii="Times New Roman" w:eastAsia="Times New Roman" w:hAnsi="Times New Roman" w:cs="Times New Roman"/>
          <w:b/>
        </w:rPr>
        <w:t xml:space="preserve">DLT Circular by SEBI </w:t>
      </w:r>
    </w:p>
    <w:p w14:paraId="7342CC2D" w14:textId="77777777" w:rsidR="00EE2CB2" w:rsidRDefault="00EE2CB2">
      <w:pPr>
        <w:jc w:val="both"/>
        <w:rPr>
          <w:rFonts w:ascii="Times New Roman" w:eastAsia="Times New Roman" w:hAnsi="Times New Roman" w:cs="Times New Roman"/>
          <w:b/>
        </w:rPr>
      </w:pPr>
    </w:p>
    <w:p w14:paraId="649FD826"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6334291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Securities and Exchange Board of India (</w:t>
      </w:r>
      <w:r>
        <w:rPr>
          <w:rFonts w:ascii="Times New Roman" w:eastAsia="Times New Roman" w:hAnsi="Times New Roman" w:cs="Times New Roman"/>
        </w:rPr>
        <w:t>SEBI) released a circular on 29th March 2022, titled as “</w:t>
      </w:r>
      <w:r>
        <w:rPr>
          <w:rFonts w:ascii="Times New Roman" w:eastAsia="Times New Roman" w:hAnsi="Times New Roman" w:cs="Times New Roman"/>
          <w:i/>
        </w:rPr>
        <w:t>Operational guidelines for ‘Security and Covenant Monitoring’ using Distributed Ledger Technology (DLT)</w:t>
      </w:r>
      <w:r>
        <w:rPr>
          <w:rFonts w:ascii="Times New Roman" w:eastAsia="Times New Roman" w:hAnsi="Times New Roman" w:cs="Times New Roman"/>
        </w:rPr>
        <w:t xml:space="preserve">”. This was in furtherance of a previous circular, released on 13th August 2021 - </w:t>
      </w:r>
      <w:r>
        <w:rPr>
          <w:rFonts w:ascii="Times New Roman" w:eastAsia="Times New Roman" w:hAnsi="Times New Roman" w:cs="Times New Roman"/>
          <w:i/>
        </w:rPr>
        <w:t xml:space="preserve">“Security and </w:t>
      </w:r>
      <w:r>
        <w:rPr>
          <w:rFonts w:ascii="Times New Roman" w:eastAsia="Times New Roman" w:hAnsi="Times New Roman" w:cs="Times New Roman"/>
          <w:i/>
        </w:rPr>
        <w:t>Covenant Monitoring using Distributed Ledger Technology”</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w:t>
      </w:r>
    </w:p>
    <w:p w14:paraId="6319E1F3" w14:textId="77777777" w:rsidR="00EE2CB2" w:rsidRDefault="00EE2CB2">
      <w:pPr>
        <w:jc w:val="both"/>
        <w:rPr>
          <w:rFonts w:ascii="Times New Roman" w:eastAsia="Times New Roman" w:hAnsi="Times New Roman" w:cs="Times New Roman"/>
        </w:rPr>
      </w:pPr>
    </w:p>
    <w:p w14:paraId="72FE0BC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market regulator elaborated on the manner of recording of charges by Issuers and the manner of monitoring by Debenture Trustees (DTs), Credit Rating Agencies, and others along with detailing</w:t>
      </w:r>
      <w:r>
        <w:rPr>
          <w:rFonts w:ascii="Times New Roman" w:eastAsia="Times New Roman" w:hAnsi="Times New Roman" w:cs="Times New Roman"/>
        </w:rPr>
        <w:t xml:space="preserve"> the responsibilities that were going to be on these institutions.</w:t>
      </w:r>
      <w:r>
        <w:rPr>
          <w:rFonts w:ascii="Times New Roman" w:eastAsia="Times New Roman" w:hAnsi="Times New Roman" w:cs="Times New Roman"/>
          <w:vertAlign w:val="superscript"/>
        </w:rPr>
        <w:footnoteReference w:id="30"/>
      </w:r>
    </w:p>
    <w:p w14:paraId="1715DB35" w14:textId="77777777" w:rsidR="00EE2CB2" w:rsidRDefault="00EE2CB2">
      <w:pPr>
        <w:jc w:val="both"/>
        <w:rPr>
          <w:rFonts w:ascii="Times New Roman" w:eastAsia="Times New Roman" w:hAnsi="Times New Roman" w:cs="Times New Roman"/>
          <w:b/>
        </w:rPr>
      </w:pPr>
    </w:p>
    <w:p w14:paraId="3C874FE7"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b/>
        </w:rPr>
        <w:t xml:space="preserve">What is DLT </w:t>
      </w:r>
    </w:p>
    <w:p w14:paraId="2E112DFB"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“Distributed Ledger Technology (DLT) is a protocol that enables the secure functioning of a decentralized digital database.” </w:t>
      </w:r>
      <w:r>
        <w:rPr>
          <w:rFonts w:ascii="Times New Roman" w:eastAsia="Times New Roman" w:hAnsi="Times New Roman" w:cs="Times New Roman"/>
          <w:vertAlign w:val="superscript"/>
        </w:rPr>
        <w:footnoteReference w:id="31"/>
      </w:r>
    </w:p>
    <w:p w14:paraId="641DC096" w14:textId="77777777" w:rsidR="00EE2CB2" w:rsidRDefault="00EE2CB2">
      <w:pPr>
        <w:jc w:val="both"/>
        <w:rPr>
          <w:rFonts w:ascii="Times New Roman" w:eastAsia="Times New Roman" w:hAnsi="Times New Roman" w:cs="Times New Roman"/>
        </w:rPr>
      </w:pPr>
    </w:p>
    <w:p w14:paraId="6472227E"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DLT system works on the </w:t>
      </w:r>
      <w:r>
        <w:rPr>
          <w:rFonts w:ascii="Times New Roman" w:eastAsia="Times New Roman" w:hAnsi="Times New Roman" w:cs="Times New Roman"/>
        </w:rPr>
        <w:t>following principle - an issuer will input information into the database. The provided intel needs to be verified, and through ‘smart contracts’, every time an issuer feeds in new information, the relevant intermediary is notified. Once the verification is</w:t>
      </w:r>
      <w:r>
        <w:rPr>
          <w:rFonts w:ascii="Times New Roman" w:eastAsia="Times New Roman" w:hAnsi="Times New Roman" w:cs="Times New Roman"/>
        </w:rPr>
        <w:t xml:space="preserve"> complete, only then the provided data will be stored/recorded on the blockchain.</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p>
    <w:p w14:paraId="09A21A1D" w14:textId="77777777" w:rsidR="00EE2CB2" w:rsidRDefault="00EE2CB2">
      <w:pPr>
        <w:jc w:val="both"/>
        <w:rPr>
          <w:rFonts w:ascii="Times New Roman" w:eastAsia="Times New Roman" w:hAnsi="Times New Roman" w:cs="Times New Roman"/>
          <w:b/>
        </w:rPr>
      </w:pPr>
    </w:p>
    <w:p w14:paraId="2AD071F3"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DLT’s Operation - Explained </w:t>
      </w:r>
    </w:p>
    <w:p w14:paraId="19B03F96"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9841BD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At the foundation level, this technology involves the uniqueness of assets recorded in the DLT system and a system-generated unique identif</w:t>
      </w:r>
      <w:r>
        <w:rPr>
          <w:rFonts w:ascii="Times New Roman" w:eastAsia="Times New Roman" w:hAnsi="Times New Roman" w:cs="Times New Roman"/>
        </w:rPr>
        <w:t xml:space="preserve">ier (Asset ID) that shall be allotted for each asset offered by Issuer as security for the non-convertible securities. For data exchange and </w:t>
      </w:r>
      <w:proofErr w:type="gramStart"/>
      <w:r>
        <w:rPr>
          <w:rFonts w:ascii="Times New Roman" w:eastAsia="Times New Roman" w:hAnsi="Times New Roman" w:cs="Times New Roman"/>
        </w:rPr>
        <w:t>verification  across</w:t>
      </w:r>
      <w:proofErr w:type="gramEnd"/>
      <w:r>
        <w:rPr>
          <w:rFonts w:ascii="Times New Roman" w:eastAsia="Times New Roman" w:hAnsi="Times New Roman" w:cs="Times New Roman"/>
        </w:rPr>
        <w:t xml:space="preserve"> depositories,  and the format  for  unique  Asset  ID  shall  be  a  12-digit alphanumeric str</w:t>
      </w:r>
      <w:r>
        <w:rPr>
          <w:rFonts w:ascii="Times New Roman" w:eastAsia="Times New Roman" w:hAnsi="Times New Roman" w:cs="Times New Roman"/>
        </w:rPr>
        <w:t>ing.</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w:t>
      </w:r>
    </w:p>
    <w:p w14:paraId="7C2C9903" w14:textId="77777777" w:rsidR="00EE2CB2" w:rsidRDefault="00EE2CB2">
      <w:pPr>
        <w:jc w:val="both"/>
        <w:rPr>
          <w:rFonts w:ascii="Times New Roman" w:eastAsia="Times New Roman" w:hAnsi="Times New Roman" w:cs="Times New Roman"/>
        </w:rPr>
      </w:pPr>
    </w:p>
    <w:p w14:paraId="55F6F1B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SEBI has been able to take ‘a step in the right direction’ by incorporating evolving technology to achieve the best results in carrying out due diligence, consistency, transparency, and safeguarding the rights of the investors in relation to </w:t>
      </w:r>
      <w:r>
        <w:rPr>
          <w:rFonts w:ascii="Times New Roman" w:eastAsia="Times New Roman" w:hAnsi="Times New Roman" w:cs="Times New Roman"/>
        </w:rPr>
        <w:t>the assets of Issuers.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Removal of redundant/duplicate data and manipulations has been hailed as another aspect of the positives of this move. A series of relaxations have been offered but </w:t>
      </w:r>
      <w:r>
        <w:rPr>
          <w:rFonts w:ascii="Times New Roman" w:eastAsia="Times New Roman" w:hAnsi="Times New Roman" w:cs="Times New Roman"/>
        </w:rPr>
        <w:lastRenderedPageBreak/>
        <w:t>with corresponding directions on how to avail them and the limits.</w:t>
      </w:r>
      <w:r>
        <w:rPr>
          <w:rFonts w:ascii="Times New Roman" w:eastAsia="Times New Roman" w:hAnsi="Times New Roman" w:cs="Times New Roman"/>
        </w:rPr>
        <w:t xml:space="preserve">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Strict deadline for examining existing issuances of non-convertible securities by November 30, 2022.</w:t>
      </w:r>
    </w:p>
    <w:p w14:paraId="7DA4BDFE" w14:textId="77777777" w:rsidR="00EE2CB2" w:rsidRDefault="00EE2CB2">
      <w:pPr>
        <w:jc w:val="both"/>
        <w:rPr>
          <w:rFonts w:ascii="Times New Roman" w:eastAsia="Times New Roman" w:hAnsi="Times New Roman" w:cs="Times New Roman"/>
        </w:rPr>
      </w:pPr>
    </w:p>
    <w:p w14:paraId="3419AD6A"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 xml:space="preserve">Conclusion </w:t>
      </w:r>
    </w:p>
    <w:p w14:paraId="581E83F6" w14:textId="77777777" w:rsidR="00EE2CB2" w:rsidRDefault="00EE2CB2">
      <w:pPr>
        <w:jc w:val="both"/>
        <w:rPr>
          <w:rFonts w:ascii="Times New Roman" w:eastAsia="Times New Roman" w:hAnsi="Times New Roman" w:cs="Times New Roman"/>
        </w:rPr>
      </w:pPr>
    </w:p>
    <w:p w14:paraId="25B96702"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With the correct investments, smart planning and a vision, we can level-up our market management and this is what SEBI aims to do with t</w:t>
      </w:r>
      <w:r>
        <w:rPr>
          <w:rFonts w:ascii="Times New Roman" w:eastAsia="Times New Roman" w:hAnsi="Times New Roman" w:cs="Times New Roman"/>
        </w:rPr>
        <w:t xml:space="preserve">his platform. </w:t>
      </w:r>
    </w:p>
    <w:p w14:paraId="54B18E1E" w14:textId="77777777" w:rsidR="00EE2CB2" w:rsidRDefault="00EE2CB2">
      <w:pPr>
        <w:jc w:val="both"/>
        <w:rPr>
          <w:rFonts w:ascii="Times New Roman" w:eastAsia="Times New Roman" w:hAnsi="Times New Roman" w:cs="Times New Roman"/>
        </w:rPr>
      </w:pPr>
    </w:p>
    <w:p w14:paraId="662AF21A" w14:textId="4B5EBB01" w:rsidR="00EE2CB2" w:rsidRDefault="00EE2CB2">
      <w:pPr>
        <w:jc w:val="both"/>
        <w:rPr>
          <w:rFonts w:ascii="Times New Roman" w:eastAsia="Times New Roman" w:hAnsi="Times New Roman" w:cs="Times New Roman"/>
          <w:b/>
        </w:rPr>
      </w:pPr>
    </w:p>
    <w:p w14:paraId="1896CA1B" w14:textId="77777777" w:rsidR="00EE2CB2" w:rsidRDefault="00BD18D0">
      <w:pPr>
        <w:numPr>
          <w:ilvl w:val="0"/>
          <w:numId w:val="13"/>
        </w:numPr>
        <w:jc w:val="both"/>
        <w:rPr>
          <w:rFonts w:ascii="Times New Roman" w:eastAsia="Times New Roman" w:hAnsi="Times New Roman" w:cs="Times New Roman"/>
          <w:b/>
        </w:rPr>
      </w:pPr>
      <w:r>
        <w:rPr>
          <w:rFonts w:ascii="Times New Roman" w:eastAsia="Times New Roman" w:hAnsi="Times New Roman" w:cs="Times New Roman"/>
          <w:b/>
        </w:rPr>
        <w:t>Compliance relaxations for listed companies under certain provisions of the SEBI (Listing Obligations and Disclosure Requirements) Regulations, 2015</w:t>
      </w:r>
    </w:p>
    <w:p w14:paraId="6BD42E8B" w14:textId="77777777" w:rsidR="00EE2CB2" w:rsidRDefault="00EE2CB2">
      <w:pPr>
        <w:ind w:left="720"/>
        <w:jc w:val="both"/>
        <w:rPr>
          <w:rFonts w:ascii="Times New Roman" w:eastAsia="Times New Roman" w:hAnsi="Times New Roman" w:cs="Times New Roman"/>
          <w:b/>
        </w:rPr>
      </w:pPr>
    </w:p>
    <w:p w14:paraId="460A884D" w14:textId="77777777" w:rsidR="00EE2CB2" w:rsidRDefault="00BD18D0">
      <w:pPr>
        <w:shd w:val="clear" w:color="auto" w:fill="FFFFFF"/>
        <w:spacing w:after="240"/>
        <w:jc w:val="both"/>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The Securities and Exchange Board of India (SEBI), on 13th March 2022 released a circular</w:t>
      </w:r>
      <w:r>
        <w:rPr>
          <w:rFonts w:ascii="Times New Roman" w:eastAsia="Times New Roman" w:hAnsi="Times New Roman" w:cs="Times New Roman"/>
          <w:color w:val="3C4043"/>
          <w:highlight w:val="white"/>
        </w:rPr>
        <w:t xml:space="preserve"> that was directed to all listed entities and all stock exchanges, informing the concerned institutions regarding certain relaxations in some areas of compliance related procedure.</w:t>
      </w:r>
      <w:r>
        <w:rPr>
          <w:rFonts w:ascii="Times New Roman" w:eastAsia="Times New Roman" w:hAnsi="Times New Roman" w:cs="Times New Roman"/>
          <w:color w:val="3C4043"/>
          <w:highlight w:val="white"/>
          <w:vertAlign w:val="superscript"/>
        </w:rPr>
        <w:footnoteReference w:id="35"/>
      </w:r>
      <w:r>
        <w:rPr>
          <w:rFonts w:ascii="Times New Roman" w:eastAsia="Times New Roman" w:hAnsi="Times New Roman" w:cs="Times New Roman"/>
          <w:color w:val="3C4043"/>
          <w:highlight w:val="white"/>
        </w:rPr>
        <w:t xml:space="preserve"> The aim was to reduce the complexities in the functioning of the listed p</w:t>
      </w:r>
      <w:r>
        <w:rPr>
          <w:rFonts w:ascii="Times New Roman" w:eastAsia="Times New Roman" w:hAnsi="Times New Roman" w:cs="Times New Roman"/>
          <w:color w:val="3C4043"/>
          <w:highlight w:val="white"/>
        </w:rPr>
        <w:t xml:space="preserve">layers and make it easy for them.  </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60"/>
        <w:gridCol w:w="6900"/>
      </w:tblGrid>
      <w:tr w:rsidR="00EE2CB2" w14:paraId="2B032C80" w14:textId="77777777">
        <w:trPr>
          <w:trHeight w:val="860"/>
        </w:trPr>
        <w:tc>
          <w:tcPr>
            <w:tcW w:w="24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1BCAEA" w14:textId="77777777" w:rsidR="00EE2CB2" w:rsidRDefault="00BD18D0">
            <w:pPr>
              <w:jc w:val="both"/>
              <w:rPr>
                <w:rFonts w:ascii="Times New Roman" w:eastAsia="Times New Roman" w:hAnsi="Times New Roman" w:cs="Times New Roman"/>
                <w:b/>
                <w:color w:val="212529"/>
              </w:rPr>
            </w:pPr>
            <w:r>
              <w:rPr>
                <w:rFonts w:ascii="Times New Roman" w:eastAsia="Times New Roman" w:hAnsi="Times New Roman" w:cs="Times New Roman"/>
                <w:b/>
                <w:color w:val="212529"/>
              </w:rPr>
              <w:t>RELEVANT LODR REGULATION</w:t>
            </w:r>
          </w:p>
        </w:tc>
        <w:tc>
          <w:tcPr>
            <w:tcW w:w="69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E443DC9" w14:textId="77777777" w:rsidR="00EE2CB2" w:rsidRDefault="00BD18D0">
            <w:pPr>
              <w:widowControl w:val="0"/>
              <w:jc w:val="both"/>
              <w:rPr>
                <w:rFonts w:ascii="Times New Roman" w:eastAsia="Times New Roman" w:hAnsi="Times New Roman" w:cs="Times New Roman"/>
                <w:b/>
                <w:color w:val="212529"/>
              </w:rPr>
            </w:pPr>
            <w:r>
              <w:rPr>
                <w:rFonts w:ascii="Times New Roman" w:eastAsia="Times New Roman" w:hAnsi="Times New Roman" w:cs="Times New Roman"/>
                <w:b/>
                <w:color w:val="212529"/>
              </w:rPr>
              <w:t>COMPLIANCE RELAXATION GRANTED</w:t>
            </w:r>
          </w:p>
        </w:tc>
      </w:tr>
      <w:tr w:rsidR="00EE2CB2" w14:paraId="1772ACAA" w14:textId="77777777">
        <w:trPr>
          <w:trHeight w:val="3080"/>
        </w:trPr>
        <w:tc>
          <w:tcPr>
            <w:tcW w:w="24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3CEF43B" w14:textId="77777777" w:rsidR="00EE2CB2" w:rsidRDefault="00BD18D0">
            <w:pPr>
              <w:widowControl w:val="0"/>
              <w:rPr>
                <w:rFonts w:ascii="Times New Roman" w:eastAsia="Times New Roman" w:hAnsi="Times New Roman" w:cs="Times New Roman"/>
                <w:color w:val="212529"/>
              </w:rPr>
            </w:pPr>
            <w:r>
              <w:rPr>
                <w:rFonts w:ascii="Times New Roman" w:eastAsia="Times New Roman" w:hAnsi="Times New Roman" w:cs="Times New Roman"/>
                <w:color w:val="212529"/>
              </w:rPr>
              <w:t>Regulation 36 (</w:t>
            </w:r>
            <w:r>
              <w:rPr>
                <w:rFonts w:ascii="Times New Roman" w:eastAsia="Times New Roman" w:hAnsi="Times New Roman" w:cs="Times New Roman"/>
                <w:i/>
                <w:color w:val="212529"/>
              </w:rPr>
              <w:t>Documents and Information to shareholders</w:t>
            </w:r>
            <w:r>
              <w:rPr>
                <w:rFonts w:ascii="Times New Roman" w:eastAsia="Times New Roman" w:hAnsi="Times New Roman" w:cs="Times New Roman"/>
                <w:color w:val="212529"/>
              </w:rPr>
              <w:t>)</w:t>
            </w:r>
          </w:p>
        </w:tc>
        <w:tc>
          <w:tcPr>
            <w:tcW w:w="69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57C4B16" w14:textId="77777777" w:rsidR="00EE2CB2" w:rsidRDefault="00BD18D0">
            <w:pPr>
              <w:widowControl w:val="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Listed entities are mandated to provide a hard copy of the annual report containing principal </w:t>
            </w:r>
            <w:r>
              <w:rPr>
                <w:rFonts w:ascii="Times New Roman" w:eastAsia="Times New Roman" w:hAnsi="Times New Roman" w:cs="Times New Roman"/>
                <w:color w:val="212529"/>
              </w:rPr>
              <w:t>attributes of all the documents prescribed under Section 136 of the Companies Act 2013 to the shareholders who have not registered their email addresses, with 21 days before the AGM.</w:t>
            </w:r>
          </w:p>
          <w:p w14:paraId="2C5941B1" w14:textId="77777777" w:rsidR="00EE2CB2" w:rsidRDefault="00EE2CB2">
            <w:pPr>
              <w:widowControl w:val="0"/>
              <w:jc w:val="both"/>
              <w:rPr>
                <w:rFonts w:ascii="Times New Roman" w:eastAsia="Times New Roman" w:hAnsi="Times New Roman" w:cs="Times New Roman"/>
                <w:color w:val="212529"/>
              </w:rPr>
            </w:pPr>
          </w:p>
          <w:p w14:paraId="7739EDB4" w14:textId="77777777" w:rsidR="00EE2CB2" w:rsidRDefault="00BD18D0">
            <w:pPr>
              <w:spacing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Relaxation has been provided to the enlisted individuals/</w:t>
            </w:r>
            <w:proofErr w:type="spellStart"/>
            <w:r>
              <w:rPr>
                <w:rFonts w:ascii="Times New Roman" w:eastAsia="Times New Roman" w:hAnsi="Times New Roman" w:cs="Times New Roman"/>
                <w:color w:val="212529"/>
              </w:rPr>
              <w:t>organisations</w:t>
            </w:r>
            <w:proofErr w:type="spellEnd"/>
            <w:r>
              <w:rPr>
                <w:rFonts w:ascii="Times New Roman" w:eastAsia="Times New Roman" w:hAnsi="Times New Roman" w:cs="Times New Roman"/>
                <w:color w:val="212529"/>
              </w:rPr>
              <w:t xml:space="preserve"> f</w:t>
            </w:r>
            <w:r>
              <w:rPr>
                <w:rFonts w:ascii="Times New Roman" w:eastAsia="Times New Roman" w:hAnsi="Times New Roman" w:cs="Times New Roman"/>
                <w:color w:val="212529"/>
              </w:rPr>
              <w:t>rom the above mandate, up to December 31, 2022.</w:t>
            </w:r>
          </w:p>
          <w:p w14:paraId="0460FA65" w14:textId="77777777" w:rsidR="00EE2CB2" w:rsidRDefault="00BD18D0">
            <w:pPr>
              <w:spacing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Clarification: It is mandatory to provide a hard copy of the full annual report if any shareholder requests the same. </w:t>
            </w:r>
          </w:p>
        </w:tc>
      </w:tr>
      <w:tr w:rsidR="00EE2CB2" w14:paraId="441FE89B" w14:textId="77777777">
        <w:trPr>
          <w:trHeight w:val="1355"/>
        </w:trPr>
        <w:tc>
          <w:tcPr>
            <w:tcW w:w="24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556C389" w14:textId="77777777" w:rsidR="00EE2CB2" w:rsidRDefault="00BD18D0">
            <w:pPr>
              <w:rPr>
                <w:rFonts w:ascii="Times New Roman" w:eastAsia="Times New Roman" w:hAnsi="Times New Roman" w:cs="Times New Roman"/>
                <w:color w:val="212529"/>
              </w:rPr>
            </w:pPr>
            <w:r>
              <w:rPr>
                <w:rFonts w:ascii="Times New Roman" w:eastAsia="Times New Roman" w:hAnsi="Times New Roman" w:cs="Times New Roman"/>
                <w:color w:val="212529"/>
              </w:rPr>
              <w:t>Regulation 44 (4) (</w:t>
            </w:r>
            <w:r>
              <w:rPr>
                <w:rFonts w:ascii="Times New Roman" w:eastAsia="Times New Roman" w:hAnsi="Times New Roman" w:cs="Times New Roman"/>
                <w:i/>
                <w:color w:val="212529"/>
              </w:rPr>
              <w:t>Meetings of shareholders and voting</w:t>
            </w:r>
            <w:r>
              <w:rPr>
                <w:rFonts w:ascii="Times New Roman" w:eastAsia="Times New Roman" w:hAnsi="Times New Roman" w:cs="Times New Roman"/>
                <w:color w:val="212529"/>
              </w:rPr>
              <w:t>)</w:t>
            </w:r>
          </w:p>
        </w:tc>
        <w:tc>
          <w:tcPr>
            <w:tcW w:w="69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C982714" w14:textId="77777777" w:rsidR="00EE2CB2" w:rsidRDefault="00BD18D0">
            <w:pPr>
              <w:widowControl w:val="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If general meetings are to be </w:t>
            </w:r>
            <w:r>
              <w:rPr>
                <w:rFonts w:ascii="Times New Roman" w:eastAsia="Times New Roman" w:hAnsi="Times New Roman" w:cs="Times New Roman"/>
                <w:color w:val="212529"/>
              </w:rPr>
              <w:t>held in an online format, then the mandate of sending proxy forms to holders of securities in all cases detailing that a holder may cast their vote either for or against a concerned resolution, has been dispensed with, up to December 31, 2022.</w:t>
            </w:r>
          </w:p>
        </w:tc>
      </w:tr>
      <w:tr w:rsidR="00EE2CB2" w14:paraId="19DC6DB7" w14:textId="77777777">
        <w:trPr>
          <w:trHeight w:val="1115"/>
        </w:trPr>
        <w:tc>
          <w:tcPr>
            <w:tcW w:w="24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72B60F2" w14:textId="77777777" w:rsidR="00EE2CB2" w:rsidRDefault="00BD18D0">
            <w:pPr>
              <w:widowControl w:val="0"/>
              <w:rPr>
                <w:rFonts w:ascii="Times New Roman" w:eastAsia="Times New Roman" w:hAnsi="Times New Roman" w:cs="Times New Roman"/>
                <w:color w:val="212529"/>
              </w:rPr>
            </w:pPr>
            <w:r>
              <w:rPr>
                <w:rFonts w:ascii="Times New Roman" w:eastAsia="Times New Roman" w:hAnsi="Times New Roman" w:cs="Times New Roman"/>
                <w:color w:val="212529"/>
              </w:rPr>
              <w:t xml:space="preserve">Regulation </w:t>
            </w:r>
            <w:r>
              <w:rPr>
                <w:rFonts w:ascii="Times New Roman" w:eastAsia="Times New Roman" w:hAnsi="Times New Roman" w:cs="Times New Roman"/>
                <w:color w:val="212529"/>
              </w:rPr>
              <w:t>47 (</w:t>
            </w:r>
            <w:r>
              <w:rPr>
                <w:rFonts w:ascii="Times New Roman" w:eastAsia="Times New Roman" w:hAnsi="Times New Roman" w:cs="Times New Roman"/>
                <w:i/>
                <w:color w:val="212529"/>
              </w:rPr>
              <w:t>Advertisement in Newspapers</w:t>
            </w:r>
            <w:r>
              <w:rPr>
                <w:rFonts w:ascii="Times New Roman" w:eastAsia="Times New Roman" w:hAnsi="Times New Roman" w:cs="Times New Roman"/>
                <w:color w:val="212529"/>
              </w:rPr>
              <w:t>)</w:t>
            </w:r>
          </w:p>
        </w:tc>
        <w:tc>
          <w:tcPr>
            <w:tcW w:w="69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632E732" w14:textId="77777777" w:rsidR="00EE2CB2" w:rsidRDefault="00BD18D0">
            <w:pPr>
              <w:widowControl w:val="0"/>
              <w:jc w:val="both"/>
              <w:rPr>
                <w:rFonts w:ascii="Times New Roman" w:eastAsia="Times New Roman" w:hAnsi="Times New Roman" w:cs="Times New Roman"/>
                <w:color w:val="212529"/>
              </w:rPr>
            </w:pPr>
            <w:r>
              <w:rPr>
                <w:rFonts w:ascii="Times New Roman" w:eastAsia="Times New Roman" w:hAnsi="Times New Roman" w:cs="Times New Roman"/>
                <w:color w:val="212529"/>
              </w:rPr>
              <w:t>In the notice of AGM, published by advertisement under Regulation 47, the addition of a link attached leading to the annual report should be ensured, so as to facilitate access to the full reports for the shareholders’ peru</w:t>
            </w:r>
            <w:r>
              <w:rPr>
                <w:rFonts w:ascii="Times New Roman" w:eastAsia="Times New Roman" w:hAnsi="Times New Roman" w:cs="Times New Roman"/>
                <w:color w:val="212529"/>
              </w:rPr>
              <w:t xml:space="preserve">sal. </w:t>
            </w:r>
          </w:p>
        </w:tc>
      </w:tr>
    </w:tbl>
    <w:p w14:paraId="3869C565" w14:textId="77777777" w:rsidR="00EE2CB2" w:rsidRDefault="00EE2CB2">
      <w:pPr>
        <w:pStyle w:val="Heading2"/>
        <w:rPr>
          <w:sz w:val="22"/>
          <w:szCs w:val="22"/>
          <w:u w:val="single"/>
        </w:rPr>
      </w:pPr>
      <w:bookmarkStart w:id="9" w:name="_agllgwajiwrj" w:colFirst="0" w:colLast="0"/>
      <w:bookmarkEnd w:id="9"/>
    </w:p>
    <w:p w14:paraId="4CC68B35" w14:textId="77777777" w:rsidR="00EE2CB2" w:rsidRPr="00FE426C" w:rsidRDefault="00BD18D0">
      <w:pPr>
        <w:pStyle w:val="Heading2"/>
        <w:jc w:val="center"/>
        <w:rPr>
          <w:color w:val="FF0000"/>
          <w:sz w:val="22"/>
          <w:szCs w:val="22"/>
          <w:u w:val="single"/>
        </w:rPr>
      </w:pPr>
      <w:bookmarkStart w:id="10" w:name="_op8ku7qs32ix" w:colFirst="0" w:colLast="0"/>
      <w:bookmarkEnd w:id="10"/>
      <w:r w:rsidRPr="00FE426C">
        <w:rPr>
          <w:color w:val="FF0000"/>
          <w:sz w:val="22"/>
          <w:szCs w:val="22"/>
          <w:u w:val="single"/>
        </w:rPr>
        <w:t xml:space="preserve">Income Tax Appellate Tribunal (ITAT) </w:t>
      </w:r>
    </w:p>
    <w:p w14:paraId="77D75016" w14:textId="77777777" w:rsidR="00EE2CB2" w:rsidRDefault="00EE2CB2">
      <w:pPr>
        <w:jc w:val="both"/>
        <w:rPr>
          <w:rFonts w:ascii="Times New Roman" w:eastAsia="Times New Roman" w:hAnsi="Times New Roman" w:cs="Times New Roman"/>
        </w:rPr>
      </w:pPr>
    </w:p>
    <w:p w14:paraId="1A28420C" w14:textId="77777777" w:rsidR="00EE2CB2" w:rsidRDefault="00BD18D0">
      <w:pPr>
        <w:numPr>
          <w:ilvl w:val="0"/>
          <w:numId w:val="4"/>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w:t>
      </w:r>
      <w:r>
        <w:rPr>
          <w:rFonts w:ascii="Times New Roman" w:eastAsia="Times New Roman" w:hAnsi="Times New Roman" w:cs="Times New Roman"/>
          <w:b/>
          <w:highlight w:val="white"/>
        </w:rPr>
        <w:t>he Vishakhapatnam Bench of ITAT concluded that the promotion plan's export entitlements and duty drawback are income assessable.</w:t>
      </w:r>
      <w:r>
        <w:rPr>
          <w:rFonts w:ascii="Times New Roman" w:eastAsia="Times New Roman" w:hAnsi="Times New Roman" w:cs="Times New Roman"/>
          <w:b/>
          <w:highlight w:val="white"/>
          <w:vertAlign w:val="superscript"/>
        </w:rPr>
        <w:footnoteReference w:id="36"/>
      </w:r>
      <w:r>
        <w:rPr>
          <w:rFonts w:ascii="Times New Roman" w:eastAsia="Times New Roman" w:hAnsi="Times New Roman" w:cs="Times New Roman"/>
          <w:b/>
          <w:highlight w:val="white"/>
        </w:rPr>
        <w:t xml:space="preserve"> </w:t>
      </w:r>
    </w:p>
    <w:p w14:paraId="157A8920" w14:textId="77777777" w:rsidR="00EE2CB2" w:rsidRDefault="00EE2CB2">
      <w:pPr>
        <w:jc w:val="both"/>
        <w:rPr>
          <w:rFonts w:ascii="Times New Roman" w:eastAsia="Times New Roman" w:hAnsi="Times New Roman" w:cs="Times New Roman"/>
          <w:b/>
          <w:highlight w:val="white"/>
          <w:u w:val="single"/>
        </w:rPr>
      </w:pPr>
    </w:p>
    <w:p w14:paraId="18EB3E09"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Introduction </w:t>
      </w:r>
    </w:p>
    <w:p w14:paraId="13B79598"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Income Tax Appellate Tribunal (ITAT) Visakhapatnam Bench, in the case of </w:t>
      </w:r>
      <w:proofErr w:type="spellStart"/>
      <w:r>
        <w:rPr>
          <w:rFonts w:ascii="Times New Roman" w:eastAsia="Times New Roman" w:hAnsi="Times New Roman" w:cs="Times New Roman"/>
          <w:i/>
          <w:highlight w:val="white"/>
        </w:rPr>
        <w:t>Nekkanti</w:t>
      </w:r>
      <w:proofErr w:type="spellEnd"/>
      <w:r>
        <w:rPr>
          <w:rFonts w:ascii="Times New Roman" w:eastAsia="Times New Roman" w:hAnsi="Times New Roman" w:cs="Times New Roman"/>
          <w:i/>
          <w:highlight w:val="white"/>
        </w:rPr>
        <w:t xml:space="preserve"> Sea Foods Ltd. v. Principal Commissioner of Income Tax</w:t>
      </w:r>
      <w:r>
        <w:rPr>
          <w:rFonts w:ascii="Times New Roman" w:eastAsia="Times New Roman" w:hAnsi="Times New Roman" w:cs="Times New Roman"/>
          <w:highlight w:val="white"/>
          <w:vertAlign w:val="superscript"/>
        </w:rPr>
        <w:footnoteReference w:id="37"/>
      </w:r>
      <w:r>
        <w:rPr>
          <w:rFonts w:ascii="Times New Roman" w:eastAsia="Times New Roman" w:hAnsi="Times New Roman" w:cs="Times New Roman"/>
          <w:highlight w:val="white"/>
        </w:rPr>
        <w:t xml:space="preserve"> ruled that the promotion plan's export entitlements and duty drawback constitute income assessable under the head “earnings or gains from business or profession” under section 28 clauses (</w:t>
      </w:r>
      <w:proofErr w:type="spellStart"/>
      <w:r>
        <w:rPr>
          <w:rFonts w:ascii="Times New Roman" w:eastAsia="Times New Roman" w:hAnsi="Times New Roman" w:cs="Times New Roman"/>
          <w:highlight w:val="white"/>
        </w:rPr>
        <w:t>iiib</w:t>
      </w:r>
      <w:proofErr w:type="spellEnd"/>
      <w:r>
        <w:rPr>
          <w:rFonts w:ascii="Times New Roman" w:eastAsia="Times New Roman" w:hAnsi="Times New Roman" w:cs="Times New Roman"/>
          <w:highlight w:val="white"/>
        </w:rPr>
        <w:t>) and (</w:t>
      </w:r>
      <w:proofErr w:type="spellStart"/>
      <w:r>
        <w:rPr>
          <w:rFonts w:ascii="Times New Roman" w:eastAsia="Times New Roman" w:hAnsi="Times New Roman" w:cs="Times New Roman"/>
          <w:highlight w:val="white"/>
        </w:rPr>
        <w:t>iiid</w:t>
      </w:r>
      <w:proofErr w:type="spellEnd"/>
      <w:r>
        <w:rPr>
          <w:rFonts w:ascii="Times New Roman" w:eastAsia="Times New Roman" w:hAnsi="Times New Roman" w:cs="Times New Roman"/>
          <w:highlight w:val="white"/>
        </w:rPr>
        <w:t>) of the Income Tax Act, 1961.</w:t>
      </w:r>
    </w:p>
    <w:p w14:paraId="04F2B626" w14:textId="77777777" w:rsidR="00EE2CB2" w:rsidRDefault="00EE2CB2">
      <w:pPr>
        <w:jc w:val="both"/>
        <w:rPr>
          <w:rFonts w:ascii="Times New Roman" w:eastAsia="Times New Roman" w:hAnsi="Times New Roman" w:cs="Times New Roman"/>
          <w:highlight w:val="white"/>
        </w:rPr>
      </w:pPr>
    </w:p>
    <w:p w14:paraId="6E427FAE"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Background of the ca</w:t>
      </w:r>
      <w:r>
        <w:rPr>
          <w:rFonts w:ascii="Times New Roman" w:eastAsia="Times New Roman" w:hAnsi="Times New Roman" w:cs="Times New Roman"/>
          <w:b/>
          <w:highlight w:val="white"/>
        </w:rPr>
        <w:t xml:space="preserve">se </w:t>
      </w:r>
    </w:p>
    <w:p w14:paraId="0829390A" w14:textId="77777777" w:rsidR="00EE2CB2" w:rsidRDefault="00BD18D0">
      <w:pPr>
        <w:numPr>
          <w:ilvl w:val="0"/>
          <w:numId w:val="9"/>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company exported frozen shrimp and other sea items. 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filed its income tax return for the fiscal year 2017-18. </w:t>
      </w:r>
    </w:p>
    <w:p w14:paraId="307DEDCE" w14:textId="77777777" w:rsidR="00EE2CB2" w:rsidRDefault="00BD18D0">
      <w:pPr>
        <w:numPr>
          <w:ilvl w:val="0"/>
          <w:numId w:val="9"/>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After completing the income return under section 143(1), the case was selected for full Computer Aided Scrutiny Se</w:t>
      </w:r>
      <w:r>
        <w:rPr>
          <w:rFonts w:ascii="Times New Roman" w:eastAsia="Times New Roman" w:hAnsi="Times New Roman" w:cs="Times New Roman"/>
          <w:highlight w:val="white"/>
        </w:rPr>
        <w:t xml:space="preserve">lection (CASS) inspection. </w:t>
      </w:r>
    </w:p>
    <w:p w14:paraId="6A18C203" w14:textId="77777777" w:rsidR="00EE2CB2" w:rsidRDefault="00BD18D0">
      <w:pPr>
        <w:numPr>
          <w:ilvl w:val="0"/>
          <w:numId w:val="9"/>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Statutory notices requesting information were sent to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in electronic format and after reviewing the information received from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representative, the Assessing Officer (AO) issued a disallowance under sect</w:t>
      </w:r>
      <w:r>
        <w:rPr>
          <w:rFonts w:ascii="Times New Roman" w:eastAsia="Times New Roman" w:hAnsi="Times New Roman" w:cs="Times New Roman"/>
          <w:highlight w:val="white"/>
        </w:rPr>
        <w:t xml:space="preserve">ion 14A read with Rule 8D. </w:t>
      </w:r>
    </w:p>
    <w:p w14:paraId="52D7E68C" w14:textId="77777777" w:rsidR="00EE2CB2" w:rsidRDefault="00BD18D0">
      <w:pPr>
        <w:numPr>
          <w:ilvl w:val="0"/>
          <w:numId w:val="9"/>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Invoking the authority given by Section 263 of the Act, the PCIT stated that the assessment order was erroneous and detrimental to the revenue's interests.</w:t>
      </w:r>
    </w:p>
    <w:p w14:paraId="3FB4738F" w14:textId="77777777" w:rsidR="00EE2CB2" w:rsidRDefault="00BD18D0">
      <w:pPr>
        <w:numPr>
          <w:ilvl w:val="0"/>
          <w:numId w:val="14"/>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was served a show-cause notice to which they responded. Taking into account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representations, the PCIT directed the AO to deny the sum arising from the receipt of duty drawback and the sum arising from the sale of </w:t>
      </w:r>
      <w:proofErr w:type="spellStart"/>
      <w:r>
        <w:rPr>
          <w:rFonts w:ascii="Times New Roman" w:eastAsia="Times New Roman" w:hAnsi="Times New Roman" w:cs="Times New Roman"/>
          <w:highlight w:val="white"/>
        </w:rPr>
        <w:t>licences</w:t>
      </w:r>
      <w:proofErr w:type="spellEnd"/>
      <w:r>
        <w:rPr>
          <w:rFonts w:ascii="Times New Roman" w:eastAsia="Times New Roman" w:hAnsi="Times New Roman" w:cs="Times New Roman"/>
          <w:highlight w:val="white"/>
        </w:rPr>
        <w:t xml:space="preserve">. </w:t>
      </w:r>
    </w:p>
    <w:p w14:paraId="08C2019B" w14:textId="77777777" w:rsidR="00EE2CB2" w:rsidRDefault="00BD18D0">
      <w:pPr>
        <w:numPr>
          <w:ilvl w:val="0"/>
          <w:numId w:val="14"/>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PCIT ruled t</w:t>
      </w:r>
      <w:r>
        <w:rPr>
          <w:rFonts w:ascii="Times New Roman" w:eastAsia="Times New Roman" w:hAnsi="Times New Roman" w:cs="Times New Roman"/>
          <w:highlight w:val="white"/>
        </w:rPr>
        <w:t xml:space="preserve">hat it was not derived from the industrial business and so did not entitle 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to a deduction under section 80IB (11A) of the Income Tax Act.</w:t>
      </w:r>
    </w:p>
    <w:p w14:paraId="15C443D2" w14:textId="77777777" w:rsidR="00EE2CB2" w:rsidRDefault="00EE2CB2">
      <w:pPr>
        <w:jc w:val="both"/>
        <w:rPr>
          <w:rFonts w:ascii="Times New Roman" w:eastAsia="Times New Roman" w:hAnsi="Times New Roman" w:cs="Times New Roman"/>
          <w:highlight w:val="white"/>
        </w:rPr>
      </w:pPr>
    </w:p>
    <w:p w14:paraId="256A7EB8"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Contentions of the </w:t>
      </w:r>
      <w:proofErr w:type="spellStart"/>
      <w:r>
        <w:rPr>
          <w:rFonts w:ascii="Times New Roman" w:eastAsia="Times New Roman" w:hAnsi="Times New Roman" w:cs="Times New Roman"/>
          <w:b/>
          <w:highlight w:val="white"/>
        </w:rPr>
        <w:t>Assessee</w:t>
      </w:r>
      <w:proofErr w:type="spellEnd"/>
    </w:p>
    <w:p w14:paraId="018C31DD"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contended that the PCIT's order is prima facie erroneous becaus</w:t>
      </w:r>
      <w:r>
        <w:rPr>
          <w:rFonts w:ascii="Times New Roman" w:eastAsia="Times New Roman" w:hAnsi="Times New Roman" w:cs="Times New Roman"/>
          <w:highlight w:val="white"/>
        </w:rPr>
        <w:t xml:space="preserve">e the AO examined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books of accounts placed before him. The PCIT's mere change of view was not in conformity with the law. 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has received incentives under the Foreign Trade Policy as a result of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exports.</w:t>
      </w:r>
    </w:p>
    <w:p w14:paraId="7A6196AA" w14:textId="77777777" w:rsidR="00EE2CB2" w:rsidRDefault="00EE2CB2">
      <w:pPr>
        <w:jc w:val="both"/>
        <w:rPr>
          <w:rFonts w:ascii="Times New Roman" w:eastAsia="Times New Roman" w:hAnsi="Times New Roman" w:cs="Times New Roman"/>
          <w:highlight w:val="white"/>
        </w:rPr>
      </w:pPr>
    </w:p>
    <w:p w14:paraId="0CDDFE7C"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According t</w:t>
      </w:r>
      <w:r>
        <w:rPr>
          <w:rFonts w:ascii="Times New Roman" w:eastAsia="Times New Roman" w:hAnsi="Times New Roman" w:cs="Times New Roman"/>
          <w:highlight w:val="white"/>
        </w:rPr>
        <w:t>o section 28(</w:t>
      </w:r>
      <w:proofErr w:type="spellStart"/>
      <w:r>
        <w:rPr>
          <w:rFonts w:ascii="Times New Roman" w:eastAsia="Times New Roman" w:hAnsi="Times New Roman" w:cs="Times New Roman"/>
          <w:highlight w:val="white"/>
        </w:rPr>
        <w:t>iiib</w:t>
      </w:r>
      <w:proofErr w:type="spellEnd"/>
      <w:r>
        <w:rPr>
          <w:rFonts w:ascii="Times New Roman" w:eastAsia="Times New Roman" w:hAnsi="Times New Roman" w:cs="Times New Roman"/>
          <w:highlight w:val="white"/>
        </w:rPr>
        <w:t>) of the Income Tax Act of 1961, cash assistance received or receivable by any person against exports under any Government of India plan should be treated as part of business profits.</w:t>
      </w:r>
    </w:p>
    <w:p w14:paraId="3B788A54" w14:textId="77777777" w:rsidR="00EE2CB2" w:rsidRDefault="00EE2CB2">
      <w:pPr>
        <w:jc w:val="both"/>
        <w:rPr>
          <w:rFonts w:ascii="Times New Roman" w:eastAsia="Times New Roman" w:hAnsi="Times New Roman" w:cs="Times New Roman"/>
          <w:highlight w:val="white"/>
        </w:rPr>
      </w:pPr>
    </w:p>
    <w:p w14:paraId="1A5F8399"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Contentions of the department </w:t>
      </w:r>
    </w:p>
    <w:p w14:paraId="5D483835"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The department maintain</w:t>
      </w:r>
      <w:r>
        <w:rPr>
          <w:rFonts w:ascii="Times New Roman" w:eastAsia="Times New Roman" w:hAnsi="Times New Roman" w:cs="Times New Roman"/>
          <w:highlight w:val="white"/>
        </w:rPr>
        <w:t xml:space="preserve">ed that PCIT correctly found that duty drawbacks, </w:t>
      </w:r>
      <w:proofErr w:type="spellStart"/>
      <w:r>
        <w:rPr>
          <w:rFonts w:ascii="Times New Roman" w:eastAsia="Times New Roman" w:hAnsi="Times New Roman" w:cs="Times New Roman"/>
          <w:highlight w:val="white"/>
        </w:rPr>
        <w:t>licence</w:t>
      </w:r>
      <w:proofErr w:type="spellEnd"/>
      <w:r>
        <w:rPr>
          <w:rFonts w:ascii="Times New Roman" w:eastAsia="Times New Roman" w:hAnsi="Times New Roman" w:cs="Times New Roman"/>
          <w:highlight w:val="white"/>
        </w:rPr>
        <w:t xml:space="preserve"> sales, and so on constitute an independent source of income and do not constitute an eligible activity for the purposes of Section 80IB of the Income Tax Act.</w:t>
      </w:r>
    </w:p>
    <w:p w14:paraId="36A128DD" w14:textId="77777777" w:rsidR="00EE2CB2" w:rsidRDefault="00EE2CB2">
      <w:pPr>
        <w:jc w:val="both"/>
        <w:rPr>
          <w:rFonts w:ascii="Times New Roman" w:eastAsia="Times New Roman" w:hAnsi="Times New Roman" w:cs="Times New Roman"/>
          <w:highlight w:val="white"/>
        </w:rPr>
      </w:pPr>
    </w:p>
    <w:p w14:paraId="5FA9776E"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Judgement</w:t>
      </w:r>
    </w:p>
    <w:p w14:paraId="0357AC4D"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ITAT relied on the Supre</w:t>
      </w:r>
      <w:r>
        <w:rPr>
          <w:rFonts w:ascii="Times New Roman" w:eastAsia="Times New Roman" w:hAnsi="Times New Roman" w:cs="Times New Roman"/>
          <w:highlight w:val="white"/>
        </w:rPr>
        <w:t xml:space="preserve">me Court's ruling in the matter of </w:t>
      </w:r>
      <w:r>
        <w:rPr>
          <w:rFonts w:ascii="Times New Roman" w:eastAsia="Times New Roman" w:hAnsi="Times New Roman" w:cs="Times New Roman"/>
          <w:i/>
          <w:highlight w:val="white"/>
        </w:rPr>
        <w:t>CIT vs. Meghalaya Steels Ltd.</w:t>
      </w:r>
      <w:r>
        <w:rPr>
          <w:rFonts w:ascii="Times New Roman" w:eastAsia="Times New Roman" w:hAnsi="Times New Roman" w:cs="Times New Roman"/>
          <w:highlight w:val="white"/>
          <w:vertAlign w:val="superscript"/>
        </w:rPr>
        <w:footnoteReference w:id="38"/>
      </w:r>
      <w:r>
        <w:rPr>
          <w:rFonts w:ascii="Times New Roman" w:eastAsia="Times New Roman" w:hAnsi="Times New Roman" w:cs="Times New Roman"/>
          <w:highlight w:val="white"/>
        </w:rPr>
        <w:t>, wherein it was held that monetary aid received or receivable in connection with export schemes is classified as income under the heading “profits and earnings of business or profession.” S</w:t>
      </w:r>
      <w:r>
        <w:rPr>
          <w:rFonts w:ascii="Times New Roman" w:eastAsia="Times New Roman" w:hAnsi="Times New Roman" w:cs="Times New Roman"/>
          <w:highlight w:val="white"/>
        </w:rPr>
        <w:t>ubsidies used to compensate expenditures incurred in the manufacturing of items by a specific enterprise would also have to be included under the heading “earnings and gains of business or profession,” rather than “revenue from other sources.”</w:t>
      </w:r>
    </w:p>
    <w:p w14:paraId="5579CAAE" w14:textId="77777777" w:rsidR="00EE2CB2" w:rsidRDefault="00EE2CB2">
      <w:pPr>
        <w:jc w:val="both"/>
        <w:rPr>
          <w:rFonts w:ascii="Times New Roman" w:eastAsia="Times New Roman" w:hAnsi="Times New Roman" w:cs="Times New Roman"/>
          <w:highlight w:val="white"/>
        </w:rPr>
      </w:pPr>
    </w:p>
    <w:p w14:paraId="3C6164B4"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two-mem</w:t>
      </w:r>
      <w:r>
        <w:rPr>
          <w:rFonts w:ascii="Times New Roman" w:eastAsia="Times New Roman" w:hAnsi="Times New Roman" w:cs="Times New Roman"/>
          <w:highlight w:val="white"/>
        </w:rPr>
        <w:t xml:space="preserve">ber bench of </w:t>
      </w:r>
      <w:proofErr w:type="spellStart"/>
      <w:r>
        <w:rPr>
          <w:rFonts w:ascii="Times New Roman" w:eastAsia="Times New Roman" w:hAnsi="Times New Roman" w:cs="Times New Roman"/>
          <w:highlight w:val="white"/>
        </w:rPr>
        <w:t>Duvvuru</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Rl</w:t>
      </w:r>
      <w:proofErr w:type="spellEnd"/>
      <w:r>
        <w:rPr>
          <w:rFonts w:ascii="Times New Roman" w:eastAsia="Times New Roman" w:hAnsi="Times New Roman" w:cs="Times New Roman"/>
          <w:highlight w:val="white"/>
        </w:rPr>
        <w:t xml:space="preserve"> Reddy (Judicial Member) and S. Balakrishnan (Accountant Member) concluded that the authorities misunderstood the legislative intent underlying the retroactive addition of a clause-(</w:t>
      </w:r>
      <w:proofErr w:type="spellStart"/>
      <w:r>
        <w:rPr>
          <w:rFonts w:ascii="Times New Roman" w:eastAsia="Times New Roman" w:hAnsi="Times New Roman" w:cs="Times New Roman"/>
          <w:highlight w:val="white"/>
        </w:rPr>
        <w:t>iiid</w:t>
      </w:r>
      <w:proofErr w:type="spellEnd"/>
      <w:r>
        <w:rPr>
          <w:rFonts w:ascii="Times New Roman" w:eastAsia="Times New Roman" w:hAnsi="Times New Roman" w:cs="Times New Roman"/>
          <w:highlight w:val="white"/>
        </w:rPr>
        <w:t>) to Section 28 of the Income Tax Act.</w:t>
      </w:r>
    </w:p>
    <w:p w14:paraId="7F613204" w14:textId="77777777" w:rsidR="00EE2CB2" w:rsidRDefault="00EE2CB2">
      <w:pPr>
        <w:jc w:val="both"/>
        <w:rPr>
          <w:rFonts w:ascii="Times New Roman" w:eastAsia="Times New Roman" w:hAnsi="Times New Roman" w:cs="Times New Roman"/>
          <w:highlight w:val="white"/>
        </w:rPr>
      </w:pPr>
    </w:p>
    <w:p w14:paraId="4EC8C17B"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Analysi</w:t>
      </w:r>
      <w:r>
        <w:rPr>
          <w:rFonts w:ascii="Times New Roman" w:eastAsia="Times New Roman" w:hAnsi="Times New Roman" w:cs="Times New Roman"/>
          <w:b/>
          <w:highlight w:val="white"/>
        </w:rPr>
        <w:t xml:space="preserve">s </w:t>
      </w:r>
    </w:p>
    <w:p w14:paraId="06B3799B"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case covers the aspect of export entitlements and duty drawbacks falling under the head of profits earned in the course of the profession and not a separate source of capital earning. This clears the contention that such gains would be eligible for </w:t>
      </w:r>
      <w:r>
        <w:rPr>
          <w:rFonts w:ascii="Times New Roman" w:eastAsia="Times New Roman" w:hAnsi="Times New Roman" w:cs="Times New Roman"/>
          <w:highlight w:val="white"/>
        </w:rPr>
        <w:t>deduction under 80IB of the Income Tax Act.</w:t>
      </w:r>
    </w:p>
    <w:p w14:paraId="2E4CF4B2" w14:textId="77777777" w:rsidR="00EE2CB2" w:rsidRDefault="00EE2CB2">
      <w:pPr>
        <w:jc w:val="both"/>
        <w:rPr>
          <w:rFonts w:ascii="Times New Roman" w:eastAsia="Times New Roman" w:hAnsi="Times New Roman" w:cs="Times New Roman"/>
          <w:highlight w:val="white"/>
        </w:rPr>
      </w:pPr>
    </w:p>
    <w:p w14:paraId="59540BC8" w14:textId="77777777" w:rsidR="00EE2CB2" w:rsidRDefault="00EE2CB2">
      <w:pPr>
        <w:jc w:val="both"/>
        <w:rPr>
          <w:rFonts w:ascii="Times New Roman" w:eastAsia="Times New Roman" w:hAnsi="Times New Roman" w:cs="Times New Roman"/>
          <w:b/>
        </w:rPr>
      </w:pPr>
    </w:p>
    <w:p w14:paraId="0854DD90" w14:textId="77777777" w:rsidR="00EE2CB2" w:rsidRDefault="00BD18D0">
      <w:pPr>
        <w:numPr>
          <w:ilvl w:val="0"/>
          <w:numId w:val="4"/>
        </w:num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The Vishakhapatnam Bench of the ITAT ruled that a loss sustained as a result of the sale of government securities qualified as a trading loss. </w:t>
      </w:r>
    </w:p>
    <w:p w14:paraId="3AC491FD" w14:textId="77777777" w:rsidR="00EE2CB2" w:rsidRDefault="00EE2CB2">
      <w:pPr>
        <w:jc w:val="both"/>
        <w:rPr>
          <w:rFonts w:ascii="Times New Roman" w:eastAsia="Times New Roman" w:hAnsi="Times New Roman" w:cs="Times New Roman"/>
          <w:b/>
          <w:highlight w:val="white"/>
        </w:rPr>
      </w:pPr>
    </w:p>
    <w:p w14:paraId="222164FD"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Introduction </w:t>
      </w:r>
    </w:p>
    <w:p w14:paraId="762BFBB9"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The Income Tax Appellate Tribunal (ITAT) Visakhapat</w:t>
      </w:r>
      <w:r>
        <w:rPr>
          <w:rFonts w:ascii="Times New Roman" w:eastAsia="Times New Roman" w:hAnsi="Times New Roman" w:cs="Times New Roman"/>
          <w:highlight w:val="white"/>
        </w:rPr>
        <w:t xml:space="preserve">nam Bench, in the case of </w:t>
      </w:r>
      <w:r>
        <w:rPr>
          <w:rFonts w:ascii="Times New Roman" w:eastAsia="Times New Roman" w:hAnsi="Times New Roman" w:cs="Times New Roman"/>
          <w:i/>
          <w:highlight w:val="white"/>
        </w:rPr>
        <w:t xml:space="preserve">Asst. Commissioner of Income Tax v. The </w:t>
      </w:r>
      <w:proofErr w:type="spellStart"/>
      <w:r>
        <w:rPr>
          <w:rFonts w:ascii="Times New Roman" w:eastAsia="Times New Roman" w:hAnsi="Times New Roman" w:cs="Times New Roman"/>
          <w:i/>
          <w:highlight w:val="white"/>
        </w:rPr>
        <w:t>Eluru</w:t>
      </w:r>
      <w:proofErr w:type="spellEnd"/>
      <w:r>
        <w:rPr>
          <w:rFonts w:ascii="Times New Roman" w:eastAsia="Times New Roman" w:hAnsi="Times New Roman" w:cs="Times New Roman"/>
          <w:i/>
          <w:highlight w:val="white"/>
        </w:rPr>
        <w:t xml:space="preserve"> Cooperative Urban Bank Ltd.</w:t>
      </w:r>
      <w:r>
        <w:rPr>
          <w:rFonts w:ascii="Times New Roman" w:eastAsia="Times New Roman" w:hAnsi="Times New Roman" w:cs="Times New Roman"/>
          <w:highlight w:val="white"/>
          <w:vertAlign w:val="superscript"/>
        </w:rPr>
        <w:footnoteReference w:id="39"/>
      </w:r>
      <w:r>
        <w:rPr>
          <w:rFonts w:ascii="Times New Roman" w:eastAsia="Times New Roman" w:hAnsi="Times New Roman" w:cs="Times New Roman"/>
          <w:highlight w:val="white"/>
        </w:rPr>
        <w:t xml:space="preserve"> opined that a loss incurred as a consequence of the sale of government securities qualified as a trading loss.</w:t>
      </w:r>
    </w:p>
    <w:p w14:paraId="1064E2CB" w14:textId="77777777" w:rsidR="00EE2CB2" w:rsidRDefault="00EE2CB2">
      <w:pPr>
        <w:jc w:val="both"/>
        <w:rPr>
          <w:rFonts w:ascii="Times New Roman" w:eastAsia="Times New Roman" w:hAnsi="Times New Roman" w:cs="Times New Roman"/>
          <w:b/>
          <w:highlight w:val="white"/>
        </w:rPr>
      </w:pPr>
    </w:p>
    <w:p w14:paraId="095D3F85"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Facts</w:t>
      </w:r>
    </w:p>
    <w:p w14:paraId="595A8684" w14:textId="77777777" w:rsidR="00EE2CB2" w:rsidRDefault="00BD18D0">
      <w:pPr>
        <w:numPr>
          <w:ilvl w:val="0"/>
          <w:numId w:val="3"/>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a co-operative urban bank limited filed an income tax return for the fiscal year 2010-11, claiming Rs. 8,72,100/- in total revenue. Consequently, the case was investigated. The </w:t>
      </w:r>
      <w:proofErr w:type="spellStart"/>
      <w:r>
        <w:rPr>
          <w:rFonts w:ascii="Times New Roman" w:eastAsia="Times New Roman" w:hAnsi="Times New Roman" w:cs="Times New Roman"/>
          <w:highlight w:val="white"/>
        </w:rPr>
        <w:t>assessee's</w:t>
      </w:r>
      <w:proofErr w:type="spellEnd"/>
      <w:r>
        <w:rPr>
          <w:rFonts w:ascii="Times New Roman" w:eastAsia="Times New Roman" w:hAnsi="Times New Roman" w:cs="Times New Roman"/>
          <w:highlight w:val="white"/>
        </w:rPr>
        <w:t xml:space="preserve"> representative submitted the relevant data sought after in the sta</w:t>
      </w:r>
      <w:r>
        <w:rPr>
          <w:rFonts w:ascii="Times New Roman" w:eastAsia="Times New Roman" w:hAnsi="Times New Roman" w:cs="Times New Roman"/>
          <w:highlight w:val="white"/>
        </w:rPr>
        <w:t xml:space="preserve">tutory notices. </w:t>
      </w:r>
    </w:p>
    <w:p w14:paraId="00E74E73" w14:textId="77777777" w:rsidR="00EE2CB2" w:rsidRDefault="00BD18D0">
      <w:pPr>
        <w:numPr>
          <w:ilvl w:val="0"/>
          <w:numId w:val="3"/>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After studying the books and the information given by the assessor's representative, the Assessing Officer (AO) conducted the evaluation.</w:t>
      </w:r>
    </w:p>
    <w:p w14:paraId="44B932BF" w14:textId="77777777" w:rsidR="00EE2CB2" w:rsidRDefault="00BD18D0">
      <w:pPr>
        <w:numPr>
          <w:ilvl w:val="0"/>
          <w:numId w:val="3"/>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dissatisfied with the AO's decision, filed an appeal with the CIT (A). The CIT (A) </w:t>
      </w:r>
      <w:r>
        <w:rPr>
          <w:rFonts w:ascii="Times New Roman" w:eastAsia="Times New Roman" w:hAnsi="Times New Roman" w:cs="Times New Roman"/>
          <w:highlight w:val="white"/>
        </w:rPr>
        <w:t>granted the claim for provisions for bad and doubtful debts under the first proviso to sub-clause (a) of section 36(</w:t>
      </w:r>
      <w:proofErr w:type="gramStart"/>
      <w:r>
        <w:rPr>
          <w:rFonts w:ascii="Times New Roman" w:eastAsia="Times New Roman" w:hAnsi="Times New Roman" w:cs="Times New Roman"/>
          <w:highlight w:val="white"/>
        </w:rPr>
        <w:t>1)(</w:t>
      </w:r>
      <w:proofErr w:type="spellStart"/>
      <w:proofErr w:type="gramEnd"/>
      <w:r>
        <w:rPr>
          <w:rFonts w:ascii="Times New Roman" w:eastAsia="Times New Roman" w:hAnsi="Times New Roman" w:cs="Times New Roman"/>
          <w:highlight w:val="white"/>
        </w:rPr>
        <w:t>viia</w:t>
      </w:r>
      <w:proofErr w:type="spellEnd"/>
      <w:r>
        <w:rPr>
          <w:rFonts w:ascii="Times New Roman" w:eastAsia="Times New Roman" w:hAnsi="Times New Roman" w:cs="Times New Roman"/>
          <w:highlight w:val="white"/>
        </w:rPr>
        <w:t xml:space="preserve">) of the Income Tax Act. </w:t>
      </w:r>
    </w:p>
    <w:p w14:paraId="0FDCA03C" w14:textId="77777777" w:rsidR="00EE2CB2" w:rsidRDefault="00BD18D0">
      <w:pPr>
        <w:numPr>
          <w:ilvl w:val="0"/>
          <w:numId w:val="3"/>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CIT (A) also permitted a loss on the sale of government securities in conformity with the RBI's standar</w:t>
      </w:r>
      <w:r>
        <w:rPr>
          <w:rFonts w:ascii="Times New Roman" w:eastAsia="Times New Roman" w:hAnsi="Times New Roman" w:cs="Times New Roman"/>
          <w:highlight w:val="white"/>
        </w:rPr>
        <w:t>ds. The Revenue has filed an appeal with the Tribunal after being dissatisfied with the ruling of the CIT (A).</w:t>
      </w:r>
    </w:p>
    <w:p w14:paraId="1DFBCA62" w14:textId="77777777" w:rsidR="00EE2CB2" w:rsidRDefault="00EE2CB2">
      <w:pPr>
        <w:jc w:val="both"/>
        <w:rPr>
          <w:rFonts w:ascii="Times New Roman" w:eastAsia="Times New Roman" w:hAnsi="Times New Roman" w:cs="Times New Roman"/>
          <w:highlight w:val="white"/>
        </w:rPr>
      </w:pPr>
    </w:p>
    <w:p w14:paraId="5F8FC7FF"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Contentions made by </w:t>
      </w:r>
      <w:proofErr w:type="spellStart"/>
      <w:r>
        <w:rPr>
          <w:rFonts w:ascii="Times New Roman" w:eastAsia="Times New Roman" w:hAnsi="Times New Roman" w:cs="Times New Roman"/>
          <w:b/>
          <w:highlight w:val="white"/>
        </w:rPr>
        <w:t>Assessee</w:t>
      </w:r>
      <w:proofErr w:type="spellEnd"/>
    </w:p>
    <w:p w14:paraId="29F87CE5"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contended that the government securities were held in the category of “Available </w:t>
      </w:r>
      <w:proofErr w:type="gramStart"/>
      <w:r>
        <w:rPr>
          <w:rFonts w:ascii="Times New Roman" w:eastAsia="Times New Roman" w:hAnsi="Times New Roman" w:cs="Times New Roman"/>
          <w:highlight w:val="white"/>
        </w:rPr>
        <w:t>For</w:t>
      </w:r>
      <w:proofErr w:type="gramEnd"/>
      <w:r>
        <w:rPr>
          <w:rFonts w:ascii="Times New Roman" w:eastAsia="Times New Roman" w:hAnsi="Times New Roman" w:cs="Times New Roman"/>
          <w:highlight w:val="white"/>
        </w:rPr>
        <w:t xml:space="preserve"> Sale,” and so the</w:t>
      </w:r>
      <w:r>
        <w:rPr>
          <w:rFonts w:ascii="Times New Roman" w:eastAsia="Times New Roman" w:hAnsi="Times New Roman" w:cs="Times New Roman"/>
          <w:highlight w:val="white"/>
        </w:rPr>
        <w:t xml:space="preserve"> loss after adjusting prior year reserves is being charged to the current year’s P &amp; L Account.</w:t>
      </w:r>
    </w:p>
    <w:p w14:paraId="3CDC2F50"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660FECE6"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Contentions made by the department </w:t>
      </w:r>
    </w:p>
    <w:p w14:paraId="0C000F6C"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department asserted that the amount claimed by 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exceeds 7.5 per cent of the income claimed and declared un</w:t>
      </w:r>
      <w:r>
        <w:rPr>
          <w:rFonts w:ascii="Times New Roman" w:eastAsia="Times New Roman" w:hAnsi="Times New Roman" w:cs="Times New Roman"/>
          <w:highlight w:val="white"/>
        </w:rPr>
        <w:t>der section 36(</w:t>
      </w:r>
      <w:proofErr w:type="gramStart"/>
      <w:r>
        <w:rPr>
          <w:rFonts w:ascii="Times New Roman" w:eastAsia="Times New Roman" w:hAnsi="Times New Roman" w:cs="Times New Roman"/>
          <w:highlight w:val="white"/>
        </w:rPr>
        <w:t>1)(</w:t>
      </w:r>
      <w:proofErr w:type="spellStart"/>
      <w:proofErr w:type="gramEnd"/>
      <w:r>
        <w:rPr>
          <w:rFonts w:ascii="Times New Roman" w:eastAsia="Times New Roman" w:hAnsi="Times New Roman" w:cs="Times New Roman"/>
          <w:highlight w:val="white"/>
        </w:rPr>
        <w:t>viia</w:t>
      </w:r>
      <w:proofErr w:type="spellEnd"/>
      <w:r>
        <w:rPr>
          <w:rFonts w:ascii="Times New Roman" w:eastAsia="Times New Roman" w:hAnsi="Times New Roman" w:cs="Times New Roman"/>
          <w:highlight w:val="white"/>
        </w:rPr>
        <w:t>)(a) of the Income Tax Act. As a result, the claimed excess deduction should be denied. The Assessing Officer was not asked about the application of the first proviso to sub-clause (a) of section 36(</w:t>
      </w:r>
      <w:proofErr w:type="gramStart"/>
      <w:r>
        <w:rPr>
          <w:rFonts w:ascii="Times New Roman" w:eastAsia="Times New Roman" w:hAnsi="Times New Roman" w:cs="Times New Roman"/>
          <w:highlight w:val="white"/>
        </w:rPr>
        <w:t>1)(</w:t>
      </w:r>
      <w:proofErr w:type="spellStart"/>
      <w:proofErr w:type="gramEnd"/>
      <w:r>
        <w:rPr>
          <w:rFonts w:ascii="Times New Roman" w:eastAsia="Times New Roman" w:hAnsi="Times New Roman" w:cs="Times New Roman"/>
          <w:highlight w:val="white"/>
        </w:rPr>
        <w:t>viia</w:t>
      </w:r>
      <w:proofErr w:type="spellEnd"/>
      <w:r>
        <w:rPr>
          <w:rFonts w:ascii="Times New Roman" w:eastAsia="Times New Roman" w:hAnsi="Times New Roman" w:cs="Times New Roman"/>
          <w:highlight w:val="white"/>
        </w:rPr>
        <w:t xml:space="preserve">). Because the </w:t>
      </w:r>
      <w:proofErr w:type="spellStart"/>
      <w:r>
        <w:rPr>
          <w:rFonts w:ascii="Times New Roman" w:eastAsia="Times New Roman" w:hAnsi="Times New Roman" w:cs="Times New Roman"/>
          <w:highlight w:val="white"/>
        </w:rPr>
        <w:t>assessee</w:t>
      </w:r>
      <w:proofErr w:type="spellEnd"/>
      <w:r>
        <w:rPr>
          <w:rFonts w:ascii="Times New Roman" w:eastAsia="Times New Roman" w:hAnsi="Times New Roman" w:cs="Times New Roman"/>
          <w:highlight w:val="white"/>
        </w:rPr>
        <w:t xml:space="preserve"> fail</w:t>
      </w:r>
      <w:r>
        <w:rPr>
          <w:rFonts w:ascii="Times New Roman" w:eastAsia="Times New Roman" w:hAnsi="Times New Roman" w:cs="Times New Roman"/>
          <w:highlight w:val="white"/>
        </w:rPr>
        <w:t>ed to report the sale and purchase of government securities in the Profit and Loss Account, the loss sustained as a consequence of the sale of government securities held as investments should be considered as a capital loss rather than a business loss.</w:t>
      </w:r>
    </w:p>
    <w:p w14:paraId="795C49DE" w14:textId="77777777" w:rsidR="00EE2CB2" w:rsidRDefault="00EE2CB2">
      <w:pPr>
        <w:jc w:val="both"/>
        <w:rPr>
          <w:rFonts w:ascii="Times New Roman" w:eastAsia="Times New Roman" w:hAnsi="Times New Roman" w:cs="Times New Roman"/>
          <w:highlight w:val="white"/>
        </w:rPr>
      </w:pPr>
    </w:p>
    <w:p w14:paraId="648ACD38"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Ju</w:t>
      </w:r>
      <w:r>
        <w:rPr>
          <w:rFonts w:ascii="Times New Roman" w:eastAsia="Times New Roman" w:hAnsi="Times New Roman" w:cs="Times New Roman"/>
          <w:b/>
          <w:highlight w:val="white"/>
        </w:rPr>
        <w:t xml:space="preserve">dgement </w:t>
      </w:r>
    </w:p>
    <w:p w14:paraId="3BEFDC0C"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ITAT concluded that owing to the nature of their business, banks may be needed to park excess trading money in securities, which, while intended to be trading assets, may be required to be held for longer periods if funds are not required. Sec</w:t>
      </w:r>
      <w:r>
        <w:rPr>
          <w:rFonts w:ascii="Times New Roman" w:eastAsia="Times New Roman" w:hAnsi="Times New Roman" w:cs="Times New Roman"/>
          <w:highlight w:val="white"/>
        </w:rPr>
        <w:t>urities in the AFS categories must be handled differently than securities in the HTM categories, which are bought and held only for investment reasons.</w:t>
      </w:r>
      <w:r>
        <w:rPr>
          <w:rFonts w:ascii="Times New Roman" w:eastAsia="Times New Roman" w:hAnsi="Times New Roman" w:cs="Times New Roman"/>
          <w:highlight w:val="white"/>
          <w:vertAlign w:val="superscript"/>
        </w:rPr>
        <w:footnoteReference w:id="40"/>
      </w:r>
    </w:p>
    <w:p w14:paraId="7BD9981D" w14:textId="77777777" w:rsidR="00EE2CB2" w:rsidRDefault="00EE2CB2">
      <w:pPr>
        <w:jc w:val="both"/>
        <w:rPr>
          <w:rFonts w:ascii="Times New Roman" w:eastAsia="Times New Roman" w:hAnsi="Times New Roman" w:cs="Times New Roman"/>
          <w:highlight w:val="white"/>
        </w:rPr>
      </w:pPr>
    </w:p>
    <w:p w14:paraId="65AD95FB" w14:textId="77777777" w:rsidR="00EE2CB2" w:rsidRDefault="00BD18D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two-member bench of </w:t>
      </w:r>
      <w:proofErr w:type="spellStart"/>
      <w:r>
        <w:rPr>
          <w:rFonts w:ascii="Times New Roman" w:eastAsia="Times New Roman" w:hAnsi="Times New Roman" w:cs="Times New Roman"/>
          <w:highlight w:val="white"/>
        </w:rPr>
        <w:t>Duvvuru</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Rl</w:t>
      </w:r>
      <w:proofErr w:type="spellEnd"/>
      <w:r>
        <w:rPr>
          <w:rFonts w:ascii="Times New Roman" w:eastAsia="Times New Roman" w:hAnsi="Times New Roman" w:cs="Times New Roman"/>
          <w:highlight w:val="white"/>
        </w:rPr>
        <w:t xml:space="preserve"> Reddy (Judicial Member) and S. Balakrishnan (Accountant Member) ob</w:t>
      </w:r>
      <w:r>
        <w:rPr>
          <w:rFonts w:ascii="Times New Roman" w:eastAsia="Times New Roman" w:hAnsi="Times New Roman" w:cs="Times New Roman"/>
          <w:highlight w:val="white"/>
        </w:rPr>
        <w:t>served that the treatment of securities in the AFS (available for sale) categories must be viewed in contrast to securities in the HTM (held to maturity) categories, which are purchased and held solely for investment purposes.</w:t>
      </w:r>
    </w:p>
    <w:p w14:paraId="4F5FAB5A" w14:textId="77777777" w:rsidR="00EE2CB2" w:rsidRDefault="00EE2CB2">
      <w:pPr>
        <w:jc w:val="both"/>
        <w:rPr>
          <w:rFonts w:ascii="Times New Roman" w:eastAsia="Times New Roman" w:hAnsi="Times New Roman" w:cs="Times New Roman"/>
          <w:highlight w:val="white"/>
        </w:rPr>
      </w:pPr>
    </w:p>
    <w:p w14:paraId="243D8E7D" w14:textId="77777777" w:rsidR="00EE2CB2" w:rsidRDefault="00BD18D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Analysis </w:t>
      </w:r>
    </w:p>
    <w:p w14:paraId="68900F60"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judges focused</w:t>
      </w:r>
      <w:r>
        <w:rPr>
          <w:rFonts w:ascii="Times New Roman" w:eastAsia="Times New Roman" w:hAnsi="Times New Roman" w:cs="Times New Roman"/>
        </w:rPr>
        <w:t xml:space="preserve"> on the different purposes of the securities (HTM and AFS) and how they should accordingly be treated differently and which one of them would classify as a ‘trading loss.’ </w:t>
      </w:r>
    </w:p>
    <w:p w14:paraId="79AAB807" w14:textId="77777777" w:rsidR="00EE2CB2" w:rsidRDefault="00EE2CB2">
      <w:pPr>
        <w:jc w:val="both"/>
        <w:rPr>
          <w:rFonts w:ascii="Times New Roman" w:eastAsia="Times New Roman" w:hAnsi="Times New Roman" w:cs="Times New Roman"/>
          <w:shd w:val="clear" w:color="auto" w:fill="212529"/>
        </w:rPr>
      </w:pPr>
    </w:p>
    <w:p w14:paraId="2562E2CD" w14:textId="77777777" w:rsidR="00EE2CB2" w:rsidRDefault="00EE2CB2">
      <w:pPr>
        <w:jc w:val="both"/>
        <w:rPr>
          <w:rFonts w:ascii="Times New Roman" w:eastAsia="Times New Roman" w:hAnsi="Times New Roman" w:cs="Times New Roman"/>
          <w:b/>
        </w:rPr>
      </w:pPr>
    </w:p>
    <w:p w14:paraId="5DA3887F" w14:textId="77777777" w:rsidR="00EE2CB2" w:rsidRDefault="00EE2CB2">
      <w:pPr>
        <w:jc w:val="both"/>
        <w:rPr>
          <w:rFonts w:ascii="Times New Roman" w:eastAsia="Times New Roman" w:hAnsi="Times New Roman" w:cs="Times New Roman"/>
          <w:b/>
        </w:rPr>
      </w:pPr>
    </w:p>
    <w:p w14:paraId="65B8488D" w14:textId="77777777" w:rsidR="00EE2CB2" w:rsidRDefault="00EE2CB2">
      <w:pPr>
        <w:pStyle w:val="Heading2"/>
        <w:jc w:val="center"/>
        <w:rPr>
          <w:sz w:val="22"/>
          <w:szCs w:val="22"/>
          <w:u w:val="single"/>
        </w:rPr>
      </w:pPr>
      <w:bookmarkStart w:id="11" w:name="_tkwktvfzjebn" w:colFirst="0" w:colLast="0"/>
      <w:bookmarkEnd w:id="11"/>
    </w:p>
    <w:p w14:paraId="69C42FF2" w14:textId="77777777" w:rsidR="00EE2CB2" w:rsidRDefault="00EE2CB2">
      <w:pPr>
        <w:pStyle w:val="Heading2"/>
        <w:rPr>
          <w:sz w:val="22"/>
          <w:szCs w:val="22"/>
          <w:u w:val="single"/>
        </w:rPr>
      </w:pPr>
      <w:bookmarkStart w:id="12" w:name="_3qyfgdqr36s9" w:colFirst="0" w:colLast="0"/>
      <w:bookmarkEnd w:id="12"/>
    </w:p>
    <w:p w14:paraId="2670583E" w14:textId="77777777" w:rsidR="00EE2CB2" w:rsidRDefault="00EE2CB2"/>
    <w:p w14:paraId="3EF609A1" w14:textId="77777777" w:rsidR="00EE2CB2" w:rsidRDefault="00EE2CB2">
      <w:pPr>
        <w:pStyle w:val="Heading2"/>
        <w:rPr>
          <w:sz w:val="22"/>
          <w:szCs w:val="22"/>
          <w:u w:val="single"/>
        </w:rPr>
      </w:pPr>
      <w:bookmarkStart w:id="13" w:name="_brpu5ntop57r" w:colFirst="0" w:colLast="0"/>
      <w:bookmarkEnd w:id="13"/>
    </w:p>
    <w:p w14:paraId="7FDC4DC9" w14:textId="77777777" w:rsidR="00EE2CB2" w:rsidRDefault="00EE2CB2"/>
    <w:p w14:paraId="41A1123A" w14:textId="110DF027" w:rsidR="00EE2CB2" w:rsidRPr="00FE426C" w:rsidRDefault="0011394E">
      <w:pPr>
        <w:pStyle w:val="Heading2"/>
        <w:jc w:val="center"/>
        <w:rPr>
          <w:color w:val="FF0000"/>
          <w:sz w:val="22"/>
          <w:szCs w:val="22"/>
          <w:u w:val="single"/>
        </w:rPr>
      </w:pPr>
      <w:bookmarkStart w:id="14" w:name="_t9v5bzqzljut" w:colFirst="0" w:colLast="0"/>
      <w:bookmarkEnd w:id="14"/>
      <w:r w:rsidRPr="00FE426C">
        <w:rPr>
          <w:color w:val="FF0000"/>
          <w:sz w:val="22"/>
          <w:szCs w:val="22"/>
          <w:u w:val="single"/>
        </w:rPr>
        <w:lastRenderedPageBreak/>
        <w:t xml:space="preserve">Ministry </w:t>
      </w:r>
      <w:r>
        <w:rPr>
          <w:color w:val="FF0000"/>
          <w:sz w:val="22"/>
          <w:szCs w:val="22"/>
          <w:u w:val="single"/>
        </w:rPr>
        <w:t>o</w:t>
      </w:r>
      <w:r w:rsidRPr="00FE426C">
        <w:rPr>
          <w:color w:val="FF0000"/>
          <w:sz w:val="22"/>
          <w:szCs w:val="22"/>
          <w:u w:val="single"/>
        </w:rPr>
        <w:t>f Corporate Affairs (M</w:t>
      </w:r>
      <w:r>
        <w:rPr>
          <w:color w:val="FF0000"/>
          <w:sz w:val="22"/>
          <w:szCs w:val="22"/>
          <w:u w:val="single"/>
        </w:rPr>
        <w:t>CA</w:t>
      </w:r>
      <w:r w:rsidRPr="00FE426C">
        <w:rPr>
          <w:color w:val="FF0000"/>
          <w:sz w:val="22"/>
          <w:szCs w:val="22"/>
          <w:u w:val="single"/>
        </w:rPr>
        <w:t>)</w:t>
      </w:r>
    </w:p>
    <w:p w14:paraId="5B451ECC" w14:textId="77777777" w:rsidR="00EE2CB2" w:rsidRDefault="00EE2CB2"/>
    <w:p w14:paraId="05BB6F40" w14:textId="77777777" w:rsidR="00EE2CB2" w:rsidRDefault="00BD18D0">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Relaxations and Amendments Approved </w:t>
      </w:r>
      <w:proofErr w:type="gramStart"/>
      <w:r>
        <w:rPr>
          <w:rFonts w:ascii="Times New Roman" w:eastAsia="Times New Roman" w:hAnsi="Times New Roman" w:cs="Times New Roman"/>
          <w:u w:val="single"/>
        </w:rPr>
        <w:t>By</w:t>
      </w:r>
      <w:proofErr w:type="gramEnd"/>
      <w:r>
        <w:rPr>
          <w:rFonts w:ascii="Times New Roman" w:eastAsia="Times New Roman" w:hAnsi="Times New Roman" w:cs="Times New Roman"/>
          <w:u w:val="single"/>
        </w:rPr>
        <w:t xml:space="preserve"> Ministry Of Corporate Affairs In May 2022</w:t>
      </w:r>
    </w:p>
    <w:p w14:paraId="02A79663" w14:textId="77777777" w:rsidR="00EE2CB2" w:rsidRDefault="00EE2CB2">
      <w:pPr>
        <w:jc w:val="both"/>
        <w:rPr>
          <w:rFonts w:ascii="Times New Roman" w:eastAsia="Times New Roman" w:hAnsi="Times New Roman" w:cs="Times New Roman"/>
          <w:b/>
        </w:rPr>
      </w:pPr>
    </w:p>
    <w:p w14:paraId="724106EA" w14:textId="77777777" w:rsidR="00EE2CB2" w:rsidRDefault="00BD18D0">
      <w:pPr>
        <w:numPr>
          <w:ilvl w:val="0"/>
          <w:numId w:val="5"/>
        </w:numPr>
        <w:jc w:val="both"/>
        <w:rPr>
          <w:rFonts w:ascii="Times New Roman" w:eastAsia="Times New Roman" w:hAnsi="Times New Roman" w:cs="Times New Roman"/>
          <w:b/>
        </w:rPr>
      </w:pPr>
      <w:r>
        <w:rPr>
          <w:rFonts w:ascii="Times New Roman" w:eastAsia="Times New Roman" w:hAnsi="Times New Roman" w:cs="Times New Roman"/>
          <w:b/>
        </w:rPr>
        <w:t>Subscribers and first directors to provide declaration of government approval under NDI Rules at the time of incorporation of a company</w:t>
      </w:r>
    </w:p>
    <w:p w14:paraId="43B32CA1" w14:textId="77777777" w:rsidR="00EE2CB2" w:rsidRDefault="00EE2CB2">
      <w:pPr>
        <w:jc w:val="both"/>
        <w:rPr>
          <w:rFonts w:ascii="Times New Roman" w:eastAsia="Times New Roman" w:hAnsi="Times New Roman" w:cs="Times New Roman"/>
        </w:rPr>
      </w:pPr>
    </w:p>
    <w:p w14:paraId="4BC4035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Section 7(1)(c) of the Companies Act, 2013 (CA 2013) read with Rule 15 of the Companies (Incorporation) Rules, 2014 requires subscribers to the memorandum of association and each of the first directors named in the articles of association of the company to</w:t>
      </w:r>
      <w:r>
        <w:rPr>
          <w:rFonts w:ascii="Times New Roman" w:eastAsia="Times New Roman" w:hAnsi="Times New Roman" w:cs="Times New Roman"/>
        </w:rPr>
        <w:t xml:space="preserve"> submit Form INC-9. Recently, the Ministry of Corporate Affairs substituted the existing Form INC-9, with a new declaration form of compliance under the Foreign Exchange Management (Non-debt Instruments) Rules, 2019 (NDI Rules). The subscriber/ first direc</w:t>
      </w:r>
      <w:r>
        <w:rPr>
          <w:rFonts w:ascii="Times New Roman" w:eastAsia="Times New Roman" w:hAnsi="Times New Roman" w:cs="Times New Roman"/>
        </w:rPr>
        <w:t xml:space="preserve">tor must declare whether government approval needs to be obtained under the NDI Rules prior to subscription of shares by them. </w:t>
      </w:r>
    </w:p>
    <w:p w14:paraId="39C1EFAF" w14:textId="77777777" w:rsidR="00EE2CB2" w:rsidRDefault="00EE2CB2">
      <w:pPr>
        <w:jc w:val="both"/>
        <w:rPr>
          <w:rFonts w:ascii="Times New Roman" w:eastAsia="Times New Roman" w:hAnsi="Times New Roman" w:cs="Times New Roman"/>
        </w:rPr>
      </w:pPr>
    </w:p>
    <w:p w14:paraId="6014F1CD"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Part B of Form INC-32 (</w:t>
      </w:r>
      <w:proofErr w:type="spellStart"/>
      <w:r>
        <w:rPr>
          <w:rFonts w:ascii="Times New Roman" w:eastAsia="Times New Roman" w:hAnsi="Times New Roman" w:cs="Times New Roman"/>
        </w:rPr>
        <w:t>SPICe</w:t>
      </w:r>
      <w:proofErr w:type="spellEnd"/>
      <w:r>
        <w:rPr>
          <w:rFonts w:ascii="Times New Roman" w:eastAsia="Times New Roman" w:hAnsi="Times New Roman" w:cs="Times New Roman"/>
        </w:rPr>
        <w:t>+) has a new declaration - application for incorporation of a company whereby it states that if any</w:t>
      </w:r>
      <w:r>
        <w:rPr>
          <w:rFonts w:ascii="Times New Roman" w:eastAsia="Times New Roman" w:hAnsi="Times New Roman" w:cs="Times New Roman"/>
        </w:rPr>
        <w:t xml:space="preserve"> of the proposed directors seeking appointment are nationals of a country which shares a land border with India, necessary security clearance from MHA, Government of India shall be attached with the consent.</w:t>
      </w:r>
    </w:p>
    <w:p w14:paraId="1E8D2E86" w14:textId="77777777" w:rsidR="00EE2CB2" w:rsidRDefault="00EE2CB2">
      <w:pPr>
        <w:jc w:val="both"/>
        <w:rPr>
          <w:rFonts w:ascii="Times New Roman" w:eastAsia="Times New Roman" w:hAnsi="Times New Roman" w:cs="Times New Roman"/>
        </w:rPr>
      </w:pPr>
    </w:p>
    <w:p w14:paraId="293E977C"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above amendments were introduced vide the C</w:t>
      </w:r>
      <w:r>
        <w:rPr>
          <w:rFonts w:ascii="Times New Roman" w:eastAsia="Times New Roman" w:hAnsi="Times New Roman" w:cs="Times New Roman"/>
        </w:rPr>
        <w:t>ompanies (Incorporation) (Second Amendment) Rules, 2022 dated May 20, 2022</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and shall come into effect from June 1, 2022.</w:t>
      </w:r>
    </w:p>
    <w:p w14:paraId="61462A7D" w14:textId="77777777" w:rsidR="00EE2CB2" w:rsidRDefault="00EE2CB2">
      <w:pPr>
        <w:jc w:val="both"/>
        <w:rPr>
          <w:rFonts w:ascii="Times New Roman" w:eastAsia="Times New Roman" w:hAnsi="Times New Roman" w:cs="Times New Roman"/>
        </w:rPr>
      </w:pPr>
    </w:p>
    <w:p w14:paraId="5BD8F153" w14:textId="77777777" w:rsidR="00EE2CB2" w:rsidRDefault="00EE2CB2">
      <w:pPr>
        <w:jc w:val="both"/>
        <w:rPr>
          <w:rFonts w:ascii="Times New Roman" w:eastAsia="Times New Roman" w:hAnsi="Times New Roman" w:cs="Times New Roman"/>
        </w:rPr>
      </w:pPr>
    </w:p>
    <w:p w14:paraId="2CAED6EB" w14:textId="77777777" w:rsidR="00EE2CB2" w:rsidRDefault="00BD18D0">
      <w:pPr>
        <w:numPr>
          <w:ilvl w:val="0"/>
          <w:numId w:val="5"/>
        </w:numPr>
        <w:jc w:val="both"/>
        <w:rPr>
          <w:rFonts w:ascii="Times New Roman" w:eastAsia="Times New Roman" w:hAnsi="Times New Roman" w:cs="Times New Roman"/>
          <w:b/>
        </w:rPr>
      </w:pPr>
      <w:r>
        <w:rPr>
          <w:rFonts w:ascii="Times New Roman" w:eastAsia="Times New Roman" w:hAnsi="Times New Roman" w:cs="Times New Roman"/>
          <w:b/>
        </w:rPr>
        <w:t>Declaration of prior approval under NDI Rules while effecting corporate reorganizations/ restructuring</w:t>
      </w:r>
      <w:r>
        <w:rPr>
          <w:rFonts w:ascii="Times New Roman" w:eastAsia="Times New Roman" w:hAnsi="Times New Roman" w:cs="Times New Roman"/>
          <w:b/>
          <w:vertAlign w:val="superscript"/>
        </w:rPr>
        <w:footnoteReference w:id="42"/>
      </w:r>
    </w:p>
    <w:p w14:paraId="4A77C013" w14:textId="77777777" w:rsidR="00EE2CB2" w:rsidRDefault="00EE2CB2">
      <w:pPr>
        <w:jc w:val="both"/>
        <w:rPr>
          <w:rFonts w:ascii="Times New Roman" w:eastAsia="Times New Roman" w:hAnsi="Times New Roman" w:cs="Times New Roman"/>
        </w:rPr>
      </w:pPr>
    </w:p>
    <w:p w14:paraId="6F107669"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MCA has notified the Comp</w:t>
      </w:r>
      <w:r>
        <w:rPr>
          <w:rFonts w:ascii="Times New Roman" w:eastAsia="Times New Roman" w:hAnsi="Times New Roman" w:cs="Times New Roman"/>
        </w:rPr>
        <w:t xml:space="preserve">anies (Compromises, Arrangements and Amalgamations) Amendment Rules, 2022 (Amendment Rules), to amend the Companies (Compromises, Arrangements and Amalgamations) Rules, 2016 (CAA Rules) whereby companies submitting applications under Section 230 of CA2013 </w:t>
      </w:r>
      <w:r>
        <w:rPr>
          <w:rFonts w:ascii="Times New Roman" w:eastAsia="Times New Roman" w:hAnsi="Times New Roman" w:cs="Times New Roman"/>
        </w:rPr>
        <w:t>(Power to compromise or make arrangements with creditors and members) will be mandated to furnish a declaration of prior approval under the NDI Rules.</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w:t>
      </w:r>
    </w:p>
    <w:p w14:paraId="659B8E5B" w14:textId="77777777" w:rsidR="00EE2CB2" w:rsidRDefault="00EE2CB2">
      <w:pPr>
        <w:jc w:val="both"/>
        <w:rPr>
          <w:rFonts w:ascii="Times New Roman" w:eastAsia="Times New Roman" w:hAnsi="Times New Roman" w:cs="Times New Roman"/>
        </w:rPr>
      </w:pPr>
    </w:p>
    <w:p w14:paraId="1BB12EC6"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Rule 25A of the CAA Rules, provides for merger or amalgamation of a foreign company with an Indian co</w:t>
      </w:r>
      <w:r>
        <w:rPr>
          <w:rFonts w:ascii="Times New Roman" w:eastAsia="Times New Roman" w:hAnsi="Times New Roman" w:cs="Times New Roman"/>
        </w:rPr>
        <w:t xml:space="preserve">mpany and vice-versa. Sub-rule (4) vide the Amendment Rules deals with cases of a compromise or an arrangement or merger or demerger between an Indian company and a company or body corporate that is based in a country which shares land border with India. </w:t>
      </w:r>
    </w:p>
    <w:p w14:paraId="775C231D" w14:textId="77777777" w:rsidR="00EE2CB2" w:rsidRDefault="00EE2CB2">
      <w:pPr>
        <w:jc w:val="both"/>
        <w:rPr>
          <w:rFonts w:ascii="Times New Roman" w:eastAsia="Times New Roman" w:hAnsi="Times New Roman" w:cs="Times New Roman"/>
        </w:rPr>
      </w:pPr>
    </w:p>
    <w:p w14:paraId="24BC10CA" w14:textId="77777777" w:rsidR="00EE2CB2" w:rsidRDefault="00EE2CB2">
      <w:pPr>
        <w:jc w:val="both"/>
        <w:rPr>
          <w:rFonts w:ascii="Times New Roman" w:eastAsia="Times New Roman" w:hAnsi="Times New Roman" w:cs="Times New Roman"/>
        </w:rPr>
      </w:pPr>
    </w:p>
    <w:p w14:paraId="5DDCD598"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rPr>
        <w:lastRenderedPageBreak/>
        <w:t xml:space="preserve">A declaration (in Form No. CAA-16) shall be required during tendering of application under Section 230 of the CA 2013. New Form No. CAA.16 includes declaration for - </w:t>
      </w:r>
      <w:r>
        <w:rPr>
          <w:rFonts w:ascii="Times New Roman" w:eastAsia="Times New Roman" w:hAnsi="Times New Roman" w:cs="Times New Roman"/>
          <w:b/>
        </w:rPr>
        <w:t xml:space="preserve">When Government approval under NDI Rules is NOT required </w:t>
      </w:r>
      <w:r>
        <w:rPr>
          <w:rFonts w:ascii="Times New Roman" w:eastAsia="Times New Roman" w:hAnsi="Times New Roman" w:cs="Times New Roman"/>
        </w:rPr>
        <w:t xml:space="preserve">OR </w:t>
      </w:r>
      <w:r>
        <w:rPr>
          <w:rFonts w:ascii="Times New Roman" w:eastAsia="Times New Roman" w:hAnsi="Times New Roman" w:cs="Times New Roman"/>
          <w:b/>
        </w:rPr>
        <w:t>When Government approval und</w:t>
      </w:r>
      <w:r>
        <w:rPr>
          <w:rFonts w:ascii="Times New Roman" w:eastAsia="Times New Roman" w:hAnsi="Times New Roman" w:cs="Times New Roman"/>
          <w:b/>
        </w:rPr>
        <w:t>er NDI Rules IS required, and if the same is procured and enclosed prior to the transfer.</w:t>
      </w:r>
    </w:p>
    <w:p w14:paraId="7BFB1B9B" w14:textId="77777777" w:rsidR="00EE2CB2" w:rsidRDefault="00EE2CB2">
      <w:pPr>
        <w:jc w:val="both"/>
        <w:rPr>
          <w:rFonts w:ascii="Times New Roman" w:eastAsia="Times New Roman" w:hAnsi="Times New Roman" w:cs="Times New Roman"/>
        </w:rPr>
      </w:pPr>
    </w:p>
    <w:p w14:paraId="6B5EFF05"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The aforesaid amendment has been introduced vide the Amendment Rules dated May 30, 2022. </w:t>
      </w:r>
      <w:r>
        <w:rPr>
          <w:rFonts w:ascii="Times New Roman" w:eastAsia="Times New Roman" w:hAnsi="Times New Roman" w:cs="Times New Roman"/>
          <w:vertAlign w:val="superscript"/>
        </w:rPr>
        <w:footnoteReference w:id="44"/>
      </w:r>
    </w:p>
    <w:p w14:paraId="366A4A71" w14:textId="77777777" w:rsidR="00EE2CB2" w:rsidRDefault="00EE2CB2">
      <w:pPr>
        <w:jc w:val="both"/>
        <w:rPr>
          <w:rFonts w:ascii="Times New Roman" w:eastAsia="Times New Roman" w:hAnsi="Times New Roman" w:cs="Times New Roman"/>
          <w:b/>
        </w:rPr>
      </w:pPr>
    </w:p>
    <w:p w14:paraId="26B6B2FC" w14:textId="77777777" w:rsidR="00EE2CB2" w:rsidRDefault="00EE2CB2">
      <w:pPr>
        <w:pStyle w:val="Heading2"/>
        <w:rPr>
          <w:sz w:val="22"/>
          <w:szCs w:val="22"/>
        </w:rPr>
      </w:pPr>
      <w:bookmarkStart w:id="15" w:name="_nakjo14lxjln" w:colFirst="0" w:colLast="0"/>
      <w:bookmarkEnd w:id="15"/>
    </w:p>
    <w:p w14:paraId="49FD3088" w14:textId="665C9BBB" w:rsidR="00EE2CB2" w:rsidRPr="00FE426C" w:rsidRDefault="0011394E">
      <w:pPr>
        <w:pStyle w:val="Heading2"/>
        <w:jc w:val="center"/>
        <w:rPr>
          <w:color w:val="FF0000"/>
          <w:sz w:val="22"/>
          <w:szCs w:val="22"/>
        </w:rPr>
      </w:pPr>
      <w:bookmarkStart w:id="16" w:name="_vi46v5jgepz3" w:colFirst="0" w:colLast="0"/>
      <w:bookmarkEnd w:id="16"/>
      <w:r w:rsidRPr="00FE426C">
        <w:rPr>
          <w:color w:val="FF0000"/>
          <w:sz w:val="22"/>
          <w:szCs w:val="22"/>
        </w:rPr>
        <w:t>Corporate Policy</w:t>
      </w:r>
    </w:p>
    <w:p w14:paraId="113BBA16" w14:textId="77777777" w:rsidR="00EE2CB2" w:rsidRDefault="00EE2CB2">
      <w:pPr>
        <w:jc w:val="both"/>
        <w:rPr>
          <w:rFonts w:ascii="Times New Roman" w:eastAsia="Times New Roman" w:hAnsi="Times New Roman" w:cs="Times New Roman"/>
          <w:b/>
          <w:u w:val="single"/>
        </w:rPr>
      </w:pPr>
    </w:p>
    <w:p w14:paraId="3B5E87F4" w14:textId="77777777" w:rsidR="00EE2CB2" w:rsidRDefault="00BD18D0">
      <w:pPr>
        <w:jc w:val="both"/>
        <w:rPr>
          <w:rFonts w:ascii="Times New Roman" w:eastAsia="Times New Roman" w:hAnsi="Times New Roman" w:cs="Times New Roman"/>
          <w:b/>
          <w:u w:val="single"/>
        </w:rPr>
      </w:pPr>
      <w:r>
        <w:rPr>
          <w:rFonts w:ascii="Times New Roman" w:eastAsia="Times New Roman" w:hAnsi="Times New Roman" w:cs="Times New Roman"/>
          <w:b/>
          <w:u w:val="single"/>
        </w:rPr>
        <w:t>PM GATI SHAKTI PLAN</w:t>
      </w:r>
    </w:p>
    <w:p w14:paraId="34926AB1"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 xml:space="preserve">PM Modi introduced PM </w:t>
      </w:r>
      <w:proofErr w:type="spellStart"/>
      <w:r>
        <w:rPr>
          <w:rFonts w:ascii="Times New Roman" w:eastAsia="Times New Roman" w:hAnsi="Times New Roman" w:cs="Times New Roman"/>
        </w:rPr>
        <w:t>Gati</w:t>
      </w:r>
      <w:proofErr w:type="spellEnd"/>
      <w:r>
        <w:rPr>
          <w:rFonts w:ascii="Times New Roman" w:eastAsia="Times New Roman" w:hAnsi="Times New Roman" w:cs="Times New Roman"/>
        </w:rPr>
        <w:t xml:space="preserve"> Shakti, a National Master Plan for multi-modal connectivity, on October 13, 2021, with the goal of integrating road, railway, airport, and multi-modal connectivity projects across the country. It encompasses 7 engines for economi</w:t>
      </w:r>
      <w:r>
        <w:rPr>
          <w:rFonts w:ascii="Times New Roman" w:eastAsia="Times New Roman" w:hAnsi="Times New Roman" w:cs="Times New Roman"/>
        </w:rPr>
        <w:t xml:space="preserve">c transformation, seamless multimodal connectivity and logistics efficiency. They are: </w:t>
      </w:r>
    </w:p>
    <w:p w14:paraId="7013D3FA" w14:textId="77777777" w:rsidR="00EE2CB2" w:rsidRDefault="00EE2CB2">
      <w:pPr>
        <w:jc w:val="both"/>
        <w:rPr>
          <w:rFonts w:ascii="Times New Roman" w:eastAsia="Times New Roman" w:hAnsi="Times New Roman" w:cs="Times New Roman"/>
        </w:rPr>
      </w:pPr>
    </w:p>
    <w:p w14:paraId="43B80931"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b/>
        </w:rPr>
        <w:t>Road Transport</w:t>
      </w:r>
    </w:p>
    <w:p w14:paraId="064581E2"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A master plan for Expressways would be formulated in 2022-23 to ensure a speedier flow of people and goods. </w:t>
      </w:r>
    </w:p>
    <w:p w14:paraId="33946FDA" w14:textId="77777777" w:rsidR="00EE2CB2" w:rsidRDefault="00EE2CB2">
      <w:pPr>
        <w:jc w:val="both"/>
        <w:rPr>
          <w:rFonts w:ascii="Times New Roman" w:eastAsia="Times New Roman" w:hAnsi="Times New Roman" w:cs="Times New Roman"/>
        </w:rPr>
      </w:pPr>
    </w:p>
    <w:p w14:paraId="6093D33D"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rPr>
        <w:t>Seamless Multimodal Movement of G</w:t>
      </w:r>
      <w:r>
        <w:rPr>
          <w:rFonts w:ascii="Times New Roman" w:eastAsia="Times New Roman" w:hAnsi="Times New Roman" w:cs="Times New Roman"/>
          <w:b/>
        </w:rPr>
        <w:t>oods and People</w:t>
      </w:r>
    </w:p>
    <w:p w14:paraId="221BAB38"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Data of all mode operators will be shared </w:t>
      </w:r>
      <w:proofErr w:type="spellStart"/>
      <w:r>
        <w:rPr>
          <w:rFonts w:ascii="Times New Roman" w:eastAsia="Times New Roman" w:hAnsi="Times New Roman" w:cs="Times New Roman"/>
        </w:rPr>
        <w:t>utilising</w:t>
      </w:r>
      <w:proofErr w:type="spellEnd"/>
      <w:r>
        <w:rPr>
          <w:rFonts w:ascii="Times New Roman" w:eastAsia="Times New Roman" w:hAnsi="Times New Roman" w:cs="Times New Roman"/>
        </w:rPr>
        <w:t xml:space="preserve"> the Unified Logistics Interface Platform (ULIP), developed for Application Programming Interface (API), allowing effective transportation of goods, lower logistical costs and eliminating time-consuming paperwork. </w:t>
      </w:r>
    </w:p>
    <w:p w14:paraId="1A8457F1" w14:textId="77777777" w:rsidR="00EE2CB2" w:rsidRDefault="00EE2CB2">
      <w:pPr>
        <w:ind w:left="360"/>
        <w:jc w:val="both"/>
        <w:rPr>
          <w:rFonts w:ascii="Times New Roman" w:eastAsia="Times New Roman" w:hAnsi="Times New Roman" w:cs="Times New Roman"/>
        </w:rPr>
      </w:pPr>
    </w:p>
    <w:p w14:paraId="622E6ECC"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Multimodal Logistic Parks</w:t>
      </w:r>
    </w:p>
    <w:p w14:paraId="2A5D756E"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Contracts </w:t>
      </w:r>
      <w:r>
        <w:rPr>
          <w:rFonts w:ascii="Times New Roman" w:eastAsia="Times New Roman" w:hAnsi="Times New Roman" w:cs="Times New Roman"/>
        </w:rPr>
        <w:t xml:space="preserve">for implementation of these parks at four locations through PPP mode will be awarded in 2022-23. </w:t>
      </w:r>
    </w:p>
    <w:p w14:paraId="5E6ED753" w14:textId="77777777" w:rsidR="00EE2CB2" w:rsidRDefault="00EE2CB2">
      <w:pPr>
        <w:ind w:left="360"/>
        <w:jc w:val="both"/>
        <w:rPr>
          <w:rFonts w:ascii="Times New Roman" w:eastAsia="Times New Roman" w:hAnsi="Times New Roman" w:cs="Times New Roman"/>
        </w:rPr>
      </w:pPr>
    </w:p>
    <w:p w14:paraId="5D47673D"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rPr>
        <w:t xml:space="preserve">  </w:t>
      </w:r>
      <w:r>
        <w:rPr>
          <w:rFonts w:ascii="Times New Roman" w:eastAsia="Times New Roman" w:hAnsi="Times New Roman" w:cs="Times New Roman"/>
          <w:b/>
        </w:rPr>
        <w:t>Railways</w:t>
      </w:r>
    </w:p>
    <w:p w14:paraId="17507211"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Railways will develop products and services for SMEs. In 2022-23, 2000 km of the network will be brought under </w:t>
      </w:r>
      <w:proofErr w:type="spellStart"/>
      <w:r>
        <w:rPr>
          <w:rFonts w:ascii="Times New Roman" w:eastAsia="Times New Roman" w:hAnsi="Times New Roman" w:cs="Times New Roman"/>
        </w:rPr>
        <w:t>Kavach</w:t>
      </w:r>
      <w:proofErr w:type="spellEnd"/>
      <w:r>
        <w:rPr>
          <w:rFonts w:ascii="Times New Roman" w:eastAsia="Times New Roman" w:hAnsi="Times New Roman" w:cs="Times New Roman"/>
        </w:rPr>
        <w:t xml:space="preserve"> with the production of 400</w:t>
      </w:r>
      <w:r>
        <w:rPr>
          <w:rFonts w:ascii="Times New Roman" w:eastAsia="Times New Roman" w:hAnsi="Times New Roman" w:cs="Times New Roman"/>
        </w:rPr>
        <w:t xml:space="preserve"> new-generation </w:t>
      </w:r>
      <w:proofErr w:type="spellStart"/>
      <w:r>
        <w:rPr>
          <w:rFonts w:ascii="Times New Roman" w:eastAsia="Times New Roman" w:hAnsi="Times New Roman" w:cs="Times New Roman"/>
        </w:rPr>
        <w:t>Vande</w:t>
      </w:r>
      <w:proofErr w:type="spellEnd"/>
      <w:r>
        <w:rPr>
          <w:rFonts w:ascii="Times New Roman" w:eastAsia="Times New Roman" w:hAnsi="Times New Roman" w:cs="Times New Roman"/>
        </w:rPr>
        <w:t xml:space="preserve"> Bharat Trains. </w:t>
      </w:r>
    </w:p>
    <w:p w14:paraId="0434C707" w14:textId="77777777" w:rsidR="00EE2CB2" w:rsidRDefault="00EE2CB2">
      <w:pPr>
        <w:ind w:left="360"/>
        <w:jc w:val="both"/>
        <w:rPr>
          <w:rFonts w:ascii="Times New Roman" w:eastAsia="Times New Roman" w:hAnsi="Times New Roman" w:cs="Times New Roman"/>
        </w:rPr>
      </w:pPr>
    </w:p>
    <w:p w14:paraId="77C40AA4"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rPr>
        <w:t xml:space="preserve">   </w:t>
      </w:r>
      <w:r>
        <w:rPr>
          <w:rFonts w:ascii="Times New Roman" w:eastAsia="Times New Roman" w:hAnsi="Times New Roman" w:cs="Times New Roman"/>
          <w:b/>
        </w:rPr>
        <w:t>Mass Urban Transportation</w:t>
      </w:r>
    </w:p>
    <w:p w14:paraId="36D93123"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Novel finance methods and rapid implementation for the construction of large-scale metro networks along with new metro designs suiting New India will be </w:t>
      </w:r>
      <w:proofErr w:type="spellStart"/>
      <w:r>
        <w:rPr>
          <w:rFonts w:ascii="Times New Roman" w:eastAsia="Times New Roman" w:hAnsi="Times New Roman" w:cs="Times New Roman"/>
        </w:rPr>
        <w:t>prioritised</w:t>
      </w:r>
      <w:proofErr w:type="spellEnd"/>
      <w:r>
        <w:rPr>
          <w:rFonts w:ascii="Times New Roman" w:eastAsia="Times New Roman" w:hAnsi="Times New Roman" w:cs="Times New Roman"/>
        </w:rPr>
        <w:t xml:space="preserve">. </w:t>
      </w:r>
    </w:p>
    <w:p w14:paraId="453ED36C" w14:textId="77777777" w:rsidR="00EE2CB2" w:rsidRDefault="00EE2CB2">
      <w:pPr>
        <w:ind w:left="360"/>
        <w:jc w:val="both"/>
        <w:rPr>
          <w:rFonts w:ascii="Times New Roman" w:eastAsia="Times New Roman" w:hAnsi="Times New Roman" w:cs="Times New Roman"/>
        </w:rPr>
      </w:pPr>
    </w:p>
    <w:p w14:paraId="1641A98F"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F.</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Parvatmala</w:t>
      </w:r>
      <w:proofErr w:type="spellEnd"/>
    </w:p>
    <w:p w14:paraId="701285D3"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lastRenderedPageBreak/>
        <w:t>Th</w:t>
      </w:r>
      <w:r>
        <w:rPr>
          <w:rFonts w:ascii="Times New Roman" w:eastAsia="Times New Roman" w:hAnsi="Times New Roman" w:cs="Times New Roman"/>
        </w:rPr>
        <w:t xml:space="preserve">e National Ropeways Development Program will be pursued on a PPP model to enhance tourism sustainably. </w:t>
      </w:r>
    </w:p>
    <w:p w14:paraId="11A4D64F" w14:textId="77777777" w:rsidR="00EE2CB2" w:rsidRDefault="00EE2CB2">
      <w:pPr>
        <w:ind w:left="360"/>
        <w:jc w:val="both"/>
        <w:rPr>
          <w:rFonts w:ascii="Times New Roman" w:eastAsia="Times New Roman" w:hAnsi="Times New Roman" w:cs="Times New Roman"/>
        </w:rPr>
      </w:pPr>
    </w:p>
    <w:p w14:paraId="7BBE427A" w14:textId="77777777" w:rsidR="00EE2CB2" w:rsidRDefault="00BD18D0">
      <w:pPr>
        <w:jc w:val="both"/>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rPr>
        <w:t xml:space="preserve">  </w:t>
      </w:r>
      <w:r>
        <w:rPr>
          <w:rFonts w:ascii="Times New Roman" w:eastAsia="Times New Roman" w:hAnsi="Times New Roman" w:cs="Times New Roman"/>
          <w:b/>
        </w:rPr>
        <w:t xml:space="preserve">Capacity Building for Infrastructure Projects </w:t>
      </w:r>
    </w:p>
    <w:p w14:paraId="4D0941D9" w14:textId="77777777" w:rsidR="00EE2CB2" w:rsidRDefault="00EE2CB2">
      <w:pPr>
        <w:jc w:val="both"/>
        <w:rPr>
          <w:rFonts w:ascii="Times New Roman" w:eastAsia="Times New Roman" w:hAnsi="Times New Roman" w:cs="Times New Roman"/>
          <w:b/>
        </w:rPr>
      </w:pPr>
    </w:p>
    <w:p w14:paraId="773001AA"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The Capacity Building Commission will provide technical assistance to federal ministries, state governments, and infrastructure agencies which will improve capacities in all initiatives. Rs. 1 lakh crore will be given to assist states in </w:t>
      </w:r>
      <w:proofErr w:type="spellStart"/>
      <w:r>
        <w:rPr>
          <w:rFonts w:ascii="Times New Roman" w:eastAsia="Times New Roman" w:hAnsi="Times New Roman" w:cs="Times New Roman"/>
        </w:rPr>
        <w:t>catalysing</w:t>
      </w:r>
      <w:proofErr w:type="spellEnd"/>
      <w:r>
        <w:rPr>
          <w:rFonts w:ascii="Times New Roman" w:eastAsia="Times New Roman" w:hAnsi="Times New Roman" w:cs="Times New Roman"/>
        </w:rPr>
        <w:t xml:space="preserve"> total e</w:t>
      </w:r>
      <w:r>
        <w:rPr>
          <w:rFonts w:ascii="Times New Roman" w:eastAsia="Times New Roman" w:hAnsi="Times New Roman" w:cs="Times New Roman"/>
        </w:rPr>
        <w:t>conomic investment.</w:t>
      </w:r>
    </w:p>
    <w:p w14:paraId="07BCBCD0" w14:textId="77777777" w:rsidR="00EE2CB2" w:rsidRDefault="00EE2CB2">
      <w:pPr>
        <w:ind w:left="360"/>
        <w:jc w:val="both"/>
        <w:rPr>
          <w:rFonts w:ascii="Times New Roman" w:eastAsia="Times New Roman" w:hAnsi="Times New Roman" w:cs="Times New Roman"/>
        </w:rPr>
      </w:pPr>
    </w:p>
    <w:p w14:paraId="6EA43A52" w14:textId="77777777" w:rsidR="00EE2CB2" w:rsidRDefault="00BD18D0">
      <w:pPr>
        <w:ind w:left="360"/>
        <w:jc w:val="both"/>
        <w:rPr>
          <w:rFonts w:ascii="Times New Roman" w:eastAsia="Times New Roman" w:hAnsi="Times New Roman" w:cs="Times New Roman"/>
        </w:rPr>
      </w:pPr>
      <w:r>
        <w:rPr>
          <w:rFonts w:ascii="Times New Roman" w:eastAsia="Times New Roman" w:hAnsi="Times New Roman" w:cs="Times New Roman"/>
        </w:rPr>
        <w:t xml:space="preserve">This allocation would be used for state productive capital investment connected to PM </w:t>
      </w:r>
      <w:proofErr w:type="spellStart"/>
      <w:r>
        <w:rPr>
          <w:rFonts w:ascii="Times New Roman" w:eastAsia="Times New Roman" w:hAnsi="Times New Roman" w:cs="Times New Roman"/>
        </w:rPr>
        <w:t>GatiShakti</w:t>
      </w:r>
      <w:proofErr w:type="spellEnd"/>
      <w:r>
        <w:rPr>
          <w:rFonts w:ascii="Times New Roman" w:eastAsia="Times New Roman" w:hAnsi="Times New Roman" w:cs="Times New Roman"/>
        </w:rPr>
        <w:t xml:space="preserve">. Additional funding for important components of the PM Gram </w:t>
      </w:r>
      <w:proofErr w:type="spellStart"/>
      <w:r>
        <w:rPr>
          <w:rFonts w:ascii="Times New Roman" w:eastAsia="Times New Roman" w:hAnsi="Times New Roman" w:cs="Times New Roman"/>
        </w:rPr>
        <w:t>Sadak</w:t>
      </w:r>
      <w:proofErr w:type="spellEnd"/>
      <w:r>
        <w:rPr>
          <w:rFonts w:ascii="Times New Roman" w:eastAsia="Times New Roman" w:hAnsi="Times New Roman" w:cs="Times New Roman"/>
        </w:rPr>
        <w:t xml:space="preserve"> Yojana, including support for the states' share, would be added. Economi</w:t>
      </w:r>
      <w:r>
        <w:rPr>
          <w:rFonts w:ascii="Times New Roman" w:eastAsia="Times New Roman" w:hAnsi="Times New Roman" w:cs="Times New Roman"/>
        </w:rPr>
        <w:t>c digitization - digital payments and completion of the OFC network, as well as building ordinances, town planning schemes, transit-oriented development, and transferable development rights reforms.</w:t>
      </w:r>
    </w:p>
    <w:p w14:paraId="2D5E55EC" w14:textId="77777777" w:rsidR="00EE2CB2" w:rsidRDefault="00EE2CB2">
      <w:pPr>
        <w:jc w:val="both"/>
        <w:rPr>
          <w:rFonts w:ascii="Times New Roman" w:eastAsia="Times New Roman" w:hAnsi="Times New Roman" w:cs="Times New Roman"/>
        </w:rPr>
      </w:pPr>
    </w:p>
    <w:p w14:paraId="17131B93" w14:textId="77777777" w:rsidR="00EE2CB2" w:rsidRDefault="00BD18D0">
      <w:pPr>
        <w:jc w:val="both"/>
        <w:rPr>
          <w:rFonts w:ascii="Times New Roman" w:eastAsia="Times New Roman" w:hAnsi="Times New Roman" w:cs="Times New Roman"/>
        </w:rPr>
      </w:pPr>
      <w:r>
        <w:rPr>
          <w:rFonts w:ascii="Times New Roman" w:eastAsia="Times New Roman" w:hAnsi="Times New Roman" w:cs="Times New Roman"/>
        </w:rPr>
        <w:t>The main aim is economic growth and sustainable developm</w:t>
      </w:r>
      <w:r>
        <w:rPr>
          <w:rFonts w:ascii="Times New Roman" w:eastAsia="Times New Roman" w:hAnsi="Times New Roman" w:cs="Times New Roman"/>
        </w:rPr>
        <w:t>ent by connecting infrastructure and logistics, enabling greater mobility of people and objects, and improving production while reducing costs and time.</w:t>
      </w:r>
    </w:p>
    <w:p w14:paraId="53158BE6" w14:textId="77777777" w:rsidR="00EE2CB2" w:rsidRDefault="00EE2CB2">
      <w:pPr>
        <w:jc w:val="both"/>
        <w:rPr>
          <w:rFonts w:ascii="Times New Roman" w:eastAsia="Times New Roman" w:hAnsi="Times New Roman" w:cs="Times New Roman"/>
          <w:b/>
          <w:sz w:val="24"/>
          <w:szCs w:val="24"/>
        </w:rPr>
      </w:pPr>
    </w:p>
    <w:p w14:paraId="7CA4EAEA" w14:textId="77777777" w:rsidR="00EE2CB2" w:rsidRDefault="00EE2CB2">
      <w:pPr>
        <w:jc w:val="both"/>
        <w:rPr>
          <w:rFonts w:ascii="Times New Roman" w:eastAsia="Times New Roman" w:hAnsi="Times New Roman" w:cs="Times New Roman"/>
          <w:b/>
          <w:sz w:val="24"/>
          <w:szCs w:val="24"/>
        </w:rPr>
      </w:pPr>
    </w:p>
    <w:p w14:paraId="5DD51695" w14:textId="77777777" w:rsidR="00EE2CB2" w:rsidRDefault="00EE2CB2">
      <w:pPr>
        <w:jc w:val="both"/>
        <w:rPr>
          <w:rFonts w:ascii="Times New Roman" w:eastAsia="Times New Roman" w:hAnsi="Times New Roman" w:cs="Times New Roman"/>
          <w:b/>
          <w:sz w:val="24"/>
          <w:szCs w:val="24"/>
        </w:rPr>
      </w:pPr>
    </w:p>
    <w:sectPr w:rsidR="00EE2CB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9739" w14:textId="77777777" w:rsidR="00BD18D0" w:rsidRDefault="00BD18D0">
      <w:pPr>
        <w:spacing w:line="240" w:lineRule="auto"/>
      </w:pPr>
      <w:r>
        <w:separator/>
      </w:r>
    </w:p>
  </w:endnote>
  <w:endnote w:type="continuationSeparator" w:id="0">
    <w:p w14:paraId="737A5E8C" w14:textId="77777777" w:rsidR="00BD18D0" w:rsidRDefault="00BD1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B771" w14:textId="77777777" w:rsidR="00EE2CB2" w:rsidRDefault="00EE2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1598" w14:textId="77777777" w:rsidR="00BD18D0" w:rsidRDefault="00BD18D0">
      <w:pPr>
        <w:spacing w:line="240" w:lineRule="auto"/>
      </w:pPr>
      <w:r>
        <w:separator/>
      </w:r>
    </w:p>
  </w:footnote>
  <w:footnote w:type="continuationSeparator" w:id="0">
    <w:p w14:paraId="6F8B06DE" w14:textId="77777777" w:rsidR="00BD18D0" w:rsidRDefault="00BD18D0">
      <w:pPr>
        <w:spacing w:line="240" w:lineRule="auto"/>
      </w:pPr>
      <w:r>
        <w:continuationSeparator/>
      </w:r>
    </w:p>
  </w:footnote>
  <w:footnote w:id="1">
    <w:p w14:paraId="0935BBDB" w14:textId="77777777" w:rsidR="00EE2CB2" w:rsidRDefault="00BD18D0">
      <w:pPr>
        <w:shd w:val="clear" w:color="auto" w:fill="FFFFFF"/>
        <w:spacing w:before="100" w:line="342"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3C4043"/>
          <w:sz w:val="18"/>
          <w:szCs w:val="18"/>
        </w:rPr>
        <w:t xml:space="preserve">2022 SCC </w:t>
      </w:r>
      <w:proofErr w:type="spellStart"/>
      <w:r>
        <w:rPr>
          <w:rFonts w:ascii="Times New Roman" w:eastAsia="Times New Roman" w:hAnsi="Times New Roman" w:cs="Times New Roman"/>
          <w:color w:val="3C4043"/>
          <w:sz w:val="18"/>
          <w:szCs w:val="18"/>
        </w:rPr>
        <w:t>OnLine</w:t>
      </w:r>
      <w:proofErr w:type="spellEnd"/>
      <w:r>
        <w:rPr>
          <w:rFonts w:ascii="Times New Roman" w:eastAsia="Times New Roman" w:hAnsi="Times New Roman" w:cs="Times New Roman"/>
          <w:color w:val="3C4043"/>
          <w:sz w:val="18"/>
          <w:szCs w:val="18"/>
        </w:rPr>
        <w:t xml:space="preserve"> NCLAT 238</w:t>
      </w:r>
    </w:p>
  </w:footnote>
  <w:footnote w:id="2">
    <w:p w14:paraId="6D7469D7"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18"/>
            <w:szCs w:val="18"/>
            <w:u w:val="single"/>
          </w:rPr>
          <w:t>https://www.livelaw.in/pdf_upload/1655101602-421763.pdf</w:t>
        </w:r>
      </w:hyperlink>
      <w:r>
        <w:rPr>
          <w:rFonts w:ascii="Times New Roman" w:eastAsia="Times New Roman" w:hAnsi="Times New Roman" w:cs="Times New Roman"/>
          <w:sz w:val="18"/>
          <w:szCs w:val="18"/>
        </w:rPr>
        <w:t>.</w:t>
      </w:r>
    </w:p>
  </w:footnote>
  <w:footnote w:id="3">
    <w:p w14:paraId="260D6088"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2">
        <w:r>
          <w:rPr>
            <w:rFonts w:ascii="Times New Roman" w:eastAsia="Times New Roman" w:hAnsi="Times New Roman" w:cs="Times New Roman"/>
            <w:color w:val="1155CC"/>
            <w:sz w:val="18"/>
            <w:szCs w:val="18"/>
            <w:u w:val="single"/>
          </w:rPr>
          <w:t>https://www.barandbench.com/news/litigation/breaking-nclat-upholds-200-crore-penalty-imposed-by-c</w:t>
        </w:r>
        <w:r>
          <w:rPr>
            <w:rFonts w:ascii="Times New Roman" w:eastAsia="Times New Roman" w:hAnsi="Times New Roman" w:cs="Times New Roman"/>
            <w:color w:val="1155CC"/>
            <w:sz w:val="18"/>
            <w:szCs w:val="18"/>
            <w:u w:val="single"/>
          </w:rPr>
          <w:t>ci-on-amazon-for-discrepancies-in-future-deal</w:t>
        </w:r>
      </w:hyperlink>
      <w:r>
        <w:rPr>
          <w:rFonts w:ascii="Times New Roman" w:eastAsia="Times New Roman" w:hAnsi="Times New Roman" w:cs="Times New Roman"/>
          <w:sz w:val="18"/>
          <w:szCs w:val="18"/>
        </w:rPr>
        <w:t xml:space="preserve"> </w:t>
      </w:r>
    </w:p>
  </w:footnote>
  <w:footnote w:id="4">
    <w:p w14:paraId="6A3D0BF5" w14:textId="77777777" w:rsidR="00EE2CB2" w:rsidRDefault="00BD18D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Company Appeal (AT) (Insolvency) No. 504 of 2022; Judgement dated: 30.05.2022. </w:t>
      </w:r>
    </w:p>
  </w:footnote>
  <w:footnote w:id="5">
    <w:p w14:paraId="4300ABF1" w14:textId="77777777" w:rsidR="00EE2CB2" w:rsidRDefault="00BD18D0">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Comp. App. (AT) (Ins) No. 271 of 2022</w:t>
      </w:r>
    </w:p>
    <w:p w14:paraId="0BD112A6" w14:textId="77777777" w:rsidR="00EE2CB2" w:rsidRDefault="00BD18D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Available at : </w:t>
      </w:r>
      <w:hyperlink r:id="rId3">
        <w:r>
          <w:rPr>
            <w:rFonts w:ascii="Times New Roman" w:eastAsia="Times New Roman" w:hAnsi="Times New Roman" w:cs="Times New Roman"/>
            <w:color w:val="1155CC"/>
            <w:sz w:val="18"/>
            <w:szCs w:val="18"/>
            <w:u w:val="single"/>
          </w:rPr>
          <w:t>https://efiling.nclat.gov.in/nclat/order_view.php?path=L05DTEFUX0RvY3VtZW50cy9DSVNfRG9jdW1lbnRzL2Nhc2Vkb2Mvb3JkZXJzL0RFTEhJLzIwMjItMDMtMTYvY291cn</w:t>
        </w:r>
        <w:r>
          <w:rPr>
            <w:rFonts w:ascii="Times New Roman" w:eastAsia="Times New Roman" w:hAnsi="Times New Roman" w:cs="Times New Roman"/>
            <w:color w:val="1155CC"/>
            <w:sz w:val="18"/>
            <w:szCs w:val="18"/>
            <w:u w:val="single"/>
          </w:rPr>
          <w:t>RzLzEvZGFpbHkvMTY0NzQyMzAzNTMzNDc2NTA1ODYyMzFhZTNiNjRkOGMucGRm</w:t>
        </w:r>
      </w:hyperlink>
    </w:p>
  </w:footnote>
  <w:footnote w:id="6">
    <w:p w14:paraId="6EC51277"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 Appeal (AT) (Insolvency) No. 412/2019, Available at https://ibbi.gov.in/uploads/order/9cc52bc5cc0cef2ad56df1693375b84b.pdf</w:t>
      </w:r>
    </w:p>
  </w:footnote>
  <w:footnote w:id="7">
    <w:p w14:paraId="6A45217D" w14:textId="77777777" w:rsidR="00EE2CB2" w:rsidRDefault="00BD18D0">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Vallal</w:t>
      </w:r>
      <w:proofErr w:type="spellEnd"/>
      <w:r>
        <w:rPr>
          <w:rFonts w:ascii="Times New Roman" w:eastAsia="Times New Roman" w:hAnsi="Times New Roman" w:cs="Times New Roman"/>
          <w:sz w:val="18"/>
          <w:szCs w:val="18"/>
        </w:rPr>
        <w:t xml:space="preserve"> RCK Vs. M/s Siva Industries and H</w:t>
      </w:r>
      <w:r>
        <w:rPr>
          <w:rFonts w:ascii="Times New Roman" w:eastAsia="Times New Roman" w:hAnsi="Times New Roman" w:cs="Times New Roman"/>
          <w:sz w:val="18"/>
          <w:szCs w:val="18"/>
        </w:rPr>
        <w:t xml:space="preserve">oldings Limited and </w:t>
      </w:r>
      <w:proofErr w:type="spellStart"/>
      <w:r>
        <w:rPr>
          <w:rFonts w:ascii="Times New Roman" w:eastAsia="Times New Roman" w:hAnsi="Times New Roman" w:cs="Times New Roman"/>
          <w:sz w:val="18"/>
          <w:szCs w:val="18"/>
        </w:rPr>
        <w:t>Ors</w:t>
      </w:r>
      <w:proofErr w:type="spellEnd"/>
      <w:r>
        <w:rPr>
          <w:rFonts w:ascii="Times New Roman" w:eastAsia="Times New Roman" w:hAnsi="Times New Roman" w:cs="Times New Roman"/>
          <w:sz w:val="18"/>
          <w:szCs w:val="18"/>
        </w:rPr>
        <w:t xml:space="preserve">. [Civil Appeal Nos. 1811-1812 of 2022] </w:t>
      </w:r>
    </w:p>
  </w:footnote>
  <w:footnote w:id="8">
    <w:p w14:paraId="7922A1C2"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Ibid, 8</w:t>
      </w:r>
    </w:p>
  </w:footnote>
  <w:footnote w:id="9">
    <w:p w14:paraId="40A47827" w14:textId="77777777" w:rsidR="00EE2CB2" w:rsidRDefault="00BD18D0">
      <w:pPr>
        <w:spacing w:line="240" w:lineRule="auto"/>
        <w:jc w:val="both"/>
        <w:rPr>
          <w:rFonts w:ascii="Times New Roman" w:eastAsia="Times New Roman" w:hAnsi="Times New Roman" w:cs="Times New Roman"/>
          <w:sz w:val="18"/>
          <w:szCs w:val="18"/>
        </w:rPr>
      </w:pPr>
      <w:r>
        <w:rPr>
          <w:vertAlign w:val="superscript"/>
        </w:rPr>
        <w:footnoteRef/>
      </w:r>
      <w:hyperlink r:id="rId4">
        <w:r>
          <w:rPr>
            <w:rFonts w:ascii="Times New Roman" w:eastAsia="Times New Roman" w:hAnsi="Times New Roman" w:cs="Times New Roman"/>
            <w:color w:val="1155CC"/>
            <w:sz w:val="18"/>
            <w:szCs w:val="18"/>
            <w:u w:val="single"/>
          </w:rPr>
          <w:t>https://www.verdictum.in/court-updates/supreme-court/supreme-court-nclt-or-nclat-cannot-sit-in-an-appeal-over-commercial-wisdom-of-coc-1373373</w:t>
        </w:r>
      </w:hyperlink>
      <w:r>
        <w:rPr>
          <w:rFonts w:ascii="Times New Roman" w:eastAsia="Times New Roman" w:hAnsi="Times New Roman" w:cs="Times New Roman"/>
          <w:sz w:val="18"/>
          <w:szCs w:val="18"/>
        </w:rPr>
        <w:t xml:space="preserve"> </w:t>
      </w:r>
    </w:p>
  </w:footnote>
  <w:footnote w:id="10">
    <w:p w14:paraId="00A24092"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5" w:anchor=":~:text=(1)%20A%20financial%20creditor%20either,corporate%20debtor%20before%20the%20Adjudicating">
        <w:r>
          <w:rPr>
            <w:rFonts w:ascii="Times New Roman" w:eastAsia="Times New Roman" w:hAnsi="Times New Roman" w:cs="Times New Roman"/>
            <w:color w:val="1155CC"/>
            <w:sz w:val="18"/>
            <w:szCs w:val="18"/>
            <w:u w:val="single"/>
          </w:rPr>
          <w:t>https://ibclaw.in/section-7-initiation-of-corporate-insolvency-resolution-</w:t>
        </w:r>
        <w:r>
          <w:rPr>
            <w:rFonts w:ascii="Times New Roman" w:eastAsia="Times New Roman" w:hAnsi="Times New Roman" w:cs="Times New Roman"/>
            <w:color w:val="1155CC"/>
            <w:sz w:val="18"/>
            <w:szCs w:val="18"/>
            <w:u w:val="single"/>
          </w:rPr>
          <w:t>process-by-financial-creditor-chapter-ii-corporate-insolvency-resolution-processcirp-part-ii-insolvency-resolution-and-liquidation-for-corpor/#:~:text=(1)%20A%20financial%20creditor%20either,corporate%20debtor%20before%20the%20Adjudicating</w:t>
        </w:r>
      </w:hyperlink>
      <w:r>
        <w:rPr>
          <w:rFonts w:ascii="Times New Roman" w:eastAsia="Times New Roman" w:hAnsi="Times New Roman" w:cs="Times New Roman"/>
          <w:sz w:val="18"/>
          <w:szCs w:val="18"/>
        </w:rPr>
        <w:t xml:space="preserve"> </w:t>
      </w:r>
    </w:p>
  </w:footnote>
  <w:footnote w:id="11">
    <w:p w14:paraId="6B93D0B1" w14:textId="77777777" w:rsidR="00EE2CB2" w:rsidRDefault="00BD18D0">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6">
        <w:r>
          <w:rPr>
            <w:rFonts w:ascii="Times New Roman" w:eastAsia="Times New Roman" w:hAnsi="Times New Roman" w:cs="Times New Roman"/>
            <w:color w:val="1155CC"/>
            <w:sz w:val="18"/>
            <w:szCs w:val="18"/>
            <w:u w:val="single"/>
          </w:rPr>
          <w:t>https://ibclaw.in/section-60-adjudicating-auth</w:t>
        </w:r>
        <w:r>
          <w:rPr>
            <w:rFonts w:ascii="Times New Roman" w:eastAsia="Times New Roman" w:hAnsi="Times New Roman" w:cs="Times New Roman"/>
            <w:color w:val="1155CC"/>
            <w:sz w:val="18"/>
            <w:szCs w:val="18"/>
            <w:u w:val="single"/>
          </w:rPr>
          <w:t>ority-for-corporate-persons/</w:t>
        </w:r>
      </w:hyperlink>
      <w:r>
        <w:rPr>
          <w:rFonts w:ascii="Times New Roman" w:eastAsia="Times New Roman" w:hAnsi="Times New Roman" w:cs="Times New Roman"/>
          <w:sz w:val="18"/>
          <w:szCs w:val="18"/>
        </w:rPr>
        <w:t xml:space="preserve"> </w:t>
      </w:r>
    </w:p>
  </w:footnote>
  <w:footnote w:id="12">
    <w:p w14:paraId="20BA0439"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7">
        <w:r>
          <w:rPr>
            <w:rFonts w:ascii="Times New Roman" w:eastAsia="Times New Roman" w:hAnsi="Times New Roman" w:cs="Times New Roman"/>
            <w:color w:val="1155CC"/>
            <w:sz w:val="18"/>
            <w:szCs w:val="18"/>
            <w:u w:val="single"/>
          </w:rPr>
          <w:t>https://www.verdictum.in/court-updates/supreme-court/supreme-court-nclt-or-nclat-cannot-sit-in-an-appeal-over-commercial-wisdom-of-coc-1373373</w:t>
        </w:r>
      </w:hyperlink>
      <w:r>
        <w:rPr>
          <w:rFonts w:ascii="Times New Roman" w:eastAsia="Times New Roman" w:hAnsi="Times New Roman" w:cs="Times New Roman"/>
          <w:sz w:val="18"/>
          <w:szCs w:val="18"/>
        </w:rPr>
        <w:t xml:space="preserve"> </w:t>
      </w:r>
    </w:p>
  </w:footnote>
  <w:footnote w:id="13">
    <w:p w14:paraId="1B40CFB5" w14:textId="77777777" w:rsidR="00EE2CB2" w:rsidRDefault="00BD18D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Swiss Ribbons Private Limited and </w:t>
      </w:r>
      <w:proofErr w:type="spellStart"/>
      <w:r>
        <w:rPr>
          <w:rFonts w:ascii="Times New Roman" w:eastAsia="Times New Roman" w:hAnsi="Times New Roman" w:cs="Times New Roman"/>
          <w:sz w:val="20"/>
          <w:szCs w:val="20"/>
        </w:rPr>
        <w:t>Anr</w:t>
      </w:r>
      <w:proofErr w:type="spellEnd"/>
      <w:r>
        <w:rPr>
          <w:rFonts w:ascii="Times New Roman" w:eastAsia="Times New Roman" w:hAnsi="Times New Roman" w:cs="Times New Roman"/>
          <w:sz w:val="20"/>
          <w:szCs w:val="20"/>
        </w:rPr>
        <w:t xml:space="preserve">. v. Union of India and </w:t>
      </w:r>
      <w:proofErr w:type="spellStart"/>
      <w:r>
        <w:rPr>
          <w:rFonts w:ascii="Times New Roman" w:eastAsia="Times New Roman" w:hAnsi="Times New Roman" w:cs="Times New Roman"/>
          <w:sz w:val="20"/>
          <w:szCs w:val="20"/>
        </w:rPr>
        <w:t>Ors</w:t>
      </w:r>
      <w:proofErr w:type="spellEnd"/>
      <w:r>
        <w:rPr>
          <w:rFonts w:ascii="Times New Roman" w:eastAsia="Times New Roman" w:hAnsi="Times New Roman" w:cs="Times New Roman"/>
          <w:sz w:val="20"/>
          <w:szCs w:val="20"/>
        </w:rPr>
        <w:t xml:space="preserve"> [(2019) </w:t>
      </w:r>
      <w:r>
        <w:rPr>
          <w:rFonts w:ascii="Times New Roman" w:eastAsia="Times New Roman" w:hAnsi="Times New Roman" w:cs="Times New Roman"/>
          <w:sz w:val="20"/>
          <w:szCs w:val="20"/>
        </w:rPr>
        <w:t>4 SCC 17]</w:t>
      </w:r>
    </w:p>
  </w:footnote>
  <w:footnote w:id="14">
    <w:p w14:paraId="206D13CB" w14:textId="77777777" w:rsidR="00EE2CB2" w:rsidRDefault="00BD18D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Rahul Carbon Commercials Private Limited v. Kohinoor Steel Pvt. Ltd. [C.P. (IB)/82(KB)2019]</w:t>
      </w:r>
    </w:p>
  </w:footnote>
  <w:footnote w:id="15">
    <w:p w14:paraId="139D1FB3" w14:textId="77777777" w:rsidR="00EE2CB2" w:rsidRDefault="00BD18D0">
      <w:pPr>
        <w:spacing w:line="240" w:lineRule="auto"/>
        <w:rPr>
          <w:rFonts w:ascii="Times New Roman" w:eastAsia="Times New Roman" w:hAnsi="Times New Roman" w:cs="Times New Roman"/>
          <w:color w:val="3C4043"/>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3C4043"/>
          <w:sz w:val="18"/>
          <w:szCs w:val="18"/>
        </w:rPr>
        <w:t xml:space="preserve">(Company Appeal (AT) Insolvency No. 575/2019)  </w:t>
      </w:r>
    </w:p>
    <w:p w14:paraId="0DD5DE69" w14:textId="77777777" w:rsidR="00EE2CB2" w:rsidRDefault="00BD18D0">
      <w:pPr>
        <w:spacing w:line="240" w:lineRule="auto"/>
        <w:rPr>
          <w:rFonts w:ascii="Times New Roman" w:eastAsia="Times New Roman" w:hAnsi="Times New Roman" w:cs="Times New Roman"/>
          <w:color w:val="3C4043"/>
          <w:sz w:val="18"/>
          <w:szCs w:val="18"/>
        </w:rPr>
      </w:pPr>
      <w:r>
        <w:rPr>
          <w:rFonts w:ascii="Times New Roman" w:eastAsia="Times New Roman" w:hAnsi="Times New Roman" w:cs="Times New Roman"/>
          <w:color w:val="3C4043"/>
          <w:sz w:val="18"/>
          <w:szCs w:val="18"/>
        </w:rPr>
        <w:t xml:space="preserve">Available at: </w:t>
      </w:r>
      <w:r>
        <w:rPr>
          <w:rFonts w:ascii="Times New Roman" w:eastAsia="Times New Roman" w:hAnsi="Times New Roman" w:cs="Times New Roman"/>
          <w:color w:val="3C4043"/>
          <w:sz w:val="18"/>
          <w:szCs w:val="18"/>
        </w:rPr>
        <w:t>https://nclat.nic.in/Useradmin/upload/192006064860708c7a0445d.pdf</w:t>
      </w:r>
    </w:p>
    <w:p w14:paraId="60C22774" w14:textId="77777777" w:rsidR="00EE2CB2" w:rsidRDefault="00EE2CB2">
      <w:pPr>
        <w:spacing w:line="240" w:lineRule="auto"/>
        <w:rPr>
          <w:rFonts w:ascii="Times New Roman" w:eastAsia="Times New Roman" w:hAnsi="Times New Roman" w:cs="Times New Roman"/>
          <w:sz w:val="18"/>
          <w:szCs w:val="18"/>
        </w:rPr>
      </w:pPr>
    </w:p>
  </w:footnote>
  <w:footnote w:id="16">
    <w:p w14:paraId="137067A8"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8">
        <w:r>
          <w:rPr>
            <w:rFonts w:ascii="Times New Roman" w:eastAsia="Times New Roman" w:hAnsi="Times New Roman" w:cs="Times New Roman"/>
            <w:color w:val="1155CC"/>
            <w:sz w:val="18"/>
            <w:szCs w:val="18"/>
            <w:u w:val="single"/>
          </w:rPr>
          <w:t>https://images.assetty</w:t>
        </w:r>
        <w:r>
          <w:rPr>
            <w:rFonts w:ascii="Times New Roman" w:eastAsia="Times New Roman" w:hAnsi="Times New Roman" w:cs="Times New Roman"/>
            <w:color w:val="1155CC"/>
            <w:sz w:val="18"/>
            <w:szCs w:val="18"/>
            <w:u w:val="single"/>
          </w:rPr>
          <w:t>pe.com/barandbench/2022-03/ea7d22a1-a7ac-4802-8390-f550f79e94d9/Rahul_Carbon_Commercials_Pvt_Ltd_vs_Kohinoor_Steel_Pvt_Ltd.pdf</w:t>
        </w:r>
      </w:hyperlink>
      <w:r>
        <w:rPr>
          <w:rFonts w:ascii="Times New Roman" w:eastAsia="Times New Roman" w:hAnsi="Times New Roman" w:cs="Times New Roman"/>
          <w:sz w:val="18"/>
          <w:szCs w:val="18"/>
        </w:rPr>
        <w:t xml:space="preserve"> </w:t>
      </w:r>
    </w:p>
  </w:footnote>
  <w:footnote w:id="17">
    <w:p w14:paraId="5A455BB1"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9">
        <w:r>
          <w:rPr>
            <w:rFonts w:ascii="Times New Roman" w:eastAsia="Times New Roman" w:hAnsi="Times New Roman" w:cs="Times New Roman"/>
            <w:color w:val="1155CC"/>
            <w:sz w:val="18"/>
            <w:szCs w:val="18"/>
            <w:u w:val="single"/>
          </w:rPr>
          <w:t>https://images.assettype.com/barandbench/2022-03/ea7d22a1-a7ac-4802-8390-f550f79e94d9/Rahul_Carbon_Commercials_Pvt_Ltd_vs_Kohinoor_Steel_Pvt_Ltyourd.pdf</w:t>
        </w:r>
      </w:hyperlink>
      <w:r>
        <w:rPr>
          <w:rFonts w:ascii="Times New Roman" w:eastAsia="Times New Roman" w:hAnsi="Times New Roman" w:cs="Times New Roman"/>
          <w:sz w:val="18"/>
          <w:szCs w:val="18"/>
        </w:rPr>
        <w:t xml:space="preserve"> </w:t>
      </w:r>
    </w:p>
  </w:footnote>
  <w:footnote w:id="18">
    <w:p w14:paraId="31DB6FF7"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Special Leave to Appeal (C) No.1730/2022. Also available </w:t>
      </w:r>
      <w:proofErr w:type="gramStart"/>
      <w:r>
        <w:rPr>
          <w:rFonts w:ascii="Times New Roman" w:eastAsia="Times New Roman" w:hAnsi="Times New Roman" w:cs="Times New Roman"/>
          <w:sz w:val="18"/>
          <w:szCs w:val="18"/>
        </w:rPr>
        <w:t>at :</w:t>
      </w:r>
      <w:proofErr w:type="gramEnd"/>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1155CC"/>
            <w:sz w:val="18"/>
            <w:szCs w:val="18"/>
            <w:u w:val="single"/>
          </w:rPr>
          <w:t>https://www.livelaw.in/pdf_upload/chandan-kumar-v-state-of-bihar-409733.pdf</w:t>
        </w:r>
      </w:hyperlink>
      <w:r>
        <w:rPr>
          <w:rFonts w:ascii="Times New Roman" w:eastAsia="Times New Roman" w:hAnsi="Times New Roman" w:cs="Times New Roman"/>
          <w:sz w:val="18"/>
          <w:szCs w:val="18"/>
        </w:rPr>
        <w:t xml:space="preserve"> </w:t>
      </w:r>
    </w:p>
    <w:p w14:paraId="4A632854" w14:textId="77777777" w:rsidR="00EE2CB2" w:rsidRDefault="00BD18D0">
      <w:pPr>
        <w:spacing w:line="240" w:lineRule="auto"/>
        <w:rPr>
          <w:rFonts w:ascii="Times New Roman" w:eastAsia="Times New Roman" w:hAnsi="Times New Roman" w:cs="Times New Roman"/>
          <w:sz w:val="18"/>
          <w:szCs w:val="18"/>
        </w:rPr>
      </w:pPr>
      <w:hyperlink r:id="rId11">
        <w:r>
          <w:rPr>
            <w:rFonts w:ascii="Times New Roman" w:eastAsia="Times New Roman" w:hAnsi="Times New Roman" w:cs="Times New Roman"/>
            <w:color w:val="1155CC"/>
            <w:sz w:val="18"/>
            <w:szCs w:val="18"/>
            <w:u w:val="single"/>
          </w:rPr>
          <w:t>https://www.livelaw.in/top-stories/bihar-drt-not-functional-supreme-court-stays-e-auction-of-a-property-191881</w:t>
        </w:r>
      </w:hyperlink>
      <w:r>
        <w:rPr>
          <w:rFonts w:ascii="Times New Roman" w:eastAsia="Times New Roman" w:hAnsi="Times New Roman" w:cs="Times New Roman"/>
          <w:sz w:val="18"/>
          <w:szCs w:val="18"/>
        </w:rPr>
        <w:t xml:space="preserve"> </w:t>
      </w:r>
    </w:p>
    <w:p w14:paraId="590EF0EF" w14:textId="77777777" w:rsidR="00EE2CB2" w:rsidRDefault="00EE2CB2">
      <w:pPr>
        <w:spacing w:line="240" w:lineRule="auto"/>
        <w:rPr>
          <w:sz w:val="20"/>
          <w:szCs w:val="20"/>
        </w:rPr>
      </w:pPr>
    </w:p>
  </w:footnote>
  <w:footnote w:id="19">
    <w:p w14:paraId="75FD294D"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Anurag s/o. </w:t>
      </w:r>
      <w:proofErr w:type="spellStart"/>
      <w:r>
        <w:rPr>
          <w:rFonts w:ascii="Times New Roman" w:eastAsia="Times New Roman" w:hAnsi="Times New Roman" w:cs="Times New Roman"/>
          <w:sz w:val="18"/>
          <w:szCs w:val="18"/>
        </w:rPr>
        <w:t>Padmesh</w:t>
      </w:r>
      <w:proofErr w:type="spellEnd"/>
      <w:r>
        <w:rPr>
          <w:rFonts w:ascii="Times New Roman" w:eastAsia="Times New Roman" w:hAnsi="Times New Roman" w:cs="Times New Roman"/>
          <w:sz w:val="18"/>
          <w:szCs w:val="18"/>
        </w:rPr>
        <w:t xml:space="preserve"> Gupta v. Bank of India [2022 </w:t>
      </w:r>
      <w:proofErr w:type="spellStart"/>
      <w:r>
        <w:rPr>
          <w:rFonts w:ascii="Times New Roman" w:eastAsia="Times New Roman" w:hAnsi="Times New Roman" w:cs="Times New Roman"/>
          <w:sz w:val="18"/>
          <w:szCs w:val="18"/>
        </w:rPr>
        <w:t>LiveLaw</w:t>
      </w:r>
      <w:proofErr w:type="spellEnd"/>
      <w:r>
        <w:rPr>
          <w:rFonts w:ascii="Times New Roman" w:eastAsia="Times New Roman" w:hAnsi="Times New Roman" w:cs="Times New Roman"/>
          <w:sz w:val="18"/>
          <w:szCs w:val="18"/>
        </w:rPr>
        <w:t xml:space="preserve"> (Bom) 204]</w:t>
      </w:r>
    </w:p>
  </w:footnote>
  <w:footnote w:id="20">
    <w:p w14:paraId="0C266477" w14:textId="77777777" w:rsidR="00EE2CB2" w:rsidRDefault="00BD18D0">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Balram Garg v. </w:t>
      </w:r>
      <w:r>
        <w:rPr>
          <w:rFonts w:ascii="Times New Roman" w:eastAsia="Times New Roman" w:hAnsi="Times New Roman" w:cs="Times New Roman"/>
          <w:sz w:val="18"/>
          <w:szCs w:val="18"/>
        </w:rPr>
        <w:t>Securities and Exchange Board of India - [2022] 137 taxmann.com 305 (SC)</w:t>
      </w:r>
    </w:p>
  </w:footnote>
  <w:footnote w:id="21">
    <w:p w14:paraId="37E8D584"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12">
        <w:r>
          <w:rPr>
            <w:rFonts w:ascii="Times New Roman" w:eastAsia="Times New Roman" w:hAnsi="Times New Roman" w:cs="Times New Roman"/>
            <w:color w:val="1155CC"/>
            <w:sz w:val="18"/>
            <w:szCs w:val="18"/>
            <w:u w:val="single"/>
          </w:rPr>
          <w:t>https://www.livela</w:t>
        </w:r>
        <w:r>
          <w:rPr>
            <w:rFonts w:ascii="Times New Roman" w:eastAsia="Times New Roman" w:hAnsi="Times New Roman" w:cs="Times New Roman"/>
            <w:color w:val="1155CC"/>
            <w:sz w:val="18"/>
            <w:szCs w:val="18"/>
            <w:u w:val="single"/>
          </w:rPr>
          <w:t>w.in/top-stories/insider-trading-cant-be-presumed-due-to-proximity-between-parties-onus-to-prove-is-on-sebi-supreme-court-197218</w:t>
        </w:r>
      </w:hyperlink>
      <w:r>
        <w:rPr>
          <w:rFonts w:ascii="Times New Roman" w:eastAsia="Times New Roman" w:hAnsi="Times New Roman" w:cs="Times New Roman"/>
          <w:sz w:val="18"/>
          <w:szCs w:val="18"/>
        </w:rPr>
        <w:t xml:space="preserve"> </w:t>
      </w:r>
    </w:p>
    <w:p w14:paraId="7A53E9D6" w14:textId="77777777" w:rsidR="00EE2CB2" w:rsidRDefault="00EE2CB2">
      <w:pPr>
        <w:spacing w:line="240" w:lineRule="auto"/>
        <w:rPr>
          <w:sz w:val="20"/>
          <w:szCs w:val="20"/>
        </w:rPr>
      </w:pPr>
    </w:p>
  </w:footnote>
  <w:footnote w:id="22">
    <w:p w14:paraId="003EC27D"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18"/>
            <w:szCs w:val="18"/>
            <w:u w:val="single"/>
          </w:rPr>
          <w:t>https://indiacorplaw.in/2022/04/supreme-court-clarifies-evidentiary-burden-in-insider-trading-cases.html</w:t>
        </w:r>
      </w:hyperlink>
      <w:r>
        <w:rPr>
          <w:rFonts w:ascii="Times New Roman" w:eastAsia="Times New Roman" w:hAnsi="Times New Roman" w:cs="Times New Roman"/>
          <w:sz w:val="18"/>
          <w:szCs w:val="18"/>
        </w:rPr>
        <w:t xml:space="preserve"> </w:t>
      </w:r>
    </w:p>
  </w:footnote>
  <w:footnote w:id="23">
    <w:p w14:paraId="02B7DFC0"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14">
        <w:r>
          <w:rPr>
            <w:rFonts w:ascii="Times New Roman" w:eastAsia="Times New Roman" w:hAnsi="Times New Roman" w:cs="Times New Roman"/>
            <w:color w:val="1155CC"/>
            <w:sz w:val="18"/>
            <w:szCs w:val="18"/>
            <w:u w:val="single"/>
          </w:rPr>
          <w:t>https://www.taxmann.com/post/blog/sc-sets-aside-insider-trading-orders-against-p-chand-jeweller/</w:t>
        </w:r>
      </w:hyperlink>
      <w:r>
        <w:rPr>
          <w:rFonts w:ascii="Times New Roman" w:eastAsia="Times New Roman" w:hAnsi="Times New Roman" w:cs="Times New Roman"/>
          <w:sz w:val="18"/>
          <w:szCs w:val="18"/>
        </w:rPr>
        <w:t xml:space="preserve"> </w:t>
      </w:r>
    </w:p>
  </w:footnote>
  <w:footnote w:id="24">
    <w:p w14:paraId="630F6DEA"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Appeal No.689 of 2021: Available </w:t>
      </w:r>
      <w:proofErr w:type="gramStart"/>
      <w:r>
        <w:rPr>
          <w:rFonts w:ascii="Times New Roman" w:eastAsia="Times New Roman" w:hAnsi="Times New Roman" w:cs="Times New Roman"/>
          <w:sz w:val="18"/>
          <w:szCs w:val="18"/>
        </w:rPr>
        <w:t>at :</w:t>
      </w:r>
      <w:proofErr w:type="gramEnd"/>
      <w:r>
        <w:rPr>
          <w:rFonts w:ascii="Times New Roman" w:eastAsia="Times New Roman" w:hAnsi="Times New Roman" w:cs="Times New Roman"/>
          <w:sz w:val="18"/>
          <w:szCs w:val="18"/>
        </w:rPr>
        <w:t xml:space="preserve"> </w:t>
      </w:r>
      <w:hyperlink r:id="rId15">
        <w:r>
          <w:rPr>
            <w:rFonts w:ascii="Times New Roman" w:eastAsia="Times New Roman" w:hAnsi="Times New Roman" w:cs="Times New Roman"/>
            <w:color w:val="1155CC"/>
            <w:sz w:val="18"/>
            <w:szCs w:val="18"/>
            <w:u w:val="single"/>
          </w:rPr>
          <w:t>https://www.livelaw.in/pdf_upload/e2022jo202168982-416610.pdf</w:t>
        </w:r>
      </w:hyperlink>
      <w:r>
        <w:rPr>
          <w:rFonts w:ascii="Times New Roman" w:eastAsia="Times New Roman" w:hAnsi="Times New Roman" w:cs="Times New Roman"/>
          <w:sz w:val="18"/>
          <w:szCs w:val="18"/>
        </w:rPr>
        <w:t xml:space="preserve"> </w:t>
      </w:r>
    </w:p>
  </w:footnote>
  <w:footnote w:id="25">
    <w:p w14:paraId="61F895D1"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16">
        <w:r>
          <w:rPr>
            <w:rFonts w:ascii="Times New Roman" w:eastAsia="Times New Roman" w:hAnsi="Times New Roman" w:cs="Times New Roman"/>
            <w:color w:val="1155CC"/>
            <w:sz w:val="18"/>
            <w:szCs w:val="18"/>
            <w:u w:val="single"/>
          </w:rPr>
          <w:t>https://www.mondaq.com/india/antitrust-eu-</w:t>
        </w:r>
        <w:r>
          <w:rPr>
            <w:rFonts w:ascii="Times New Roman" w:eastAsia="Times New Roman" w:hAnsi="Times New Roman" w:cs="Times New Roman"/>
            <w:color w:val="1155CC"/>
            <w:sz w:val="18"/>
            <w:szCs w:val="18"/>
            <w:u w:val="single"/>
          </w:rPr>
          <w:t>competition-/1192468/imposition-of-costs-on-sebi-a-tussle-between-sat-and-sebi</w:t>
        </w:r>
      </w:hyperlink>
    </w:p>
  </w:footnote>
  <w:footnote w:id="26">
    <w:p w14:paraId="18985B74"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SEBI vs Vital Communications Ltd &amp; </w:t>
      </w:r>
      <w:proofErr w:type="spellStart"/>
      <w:r>
        <w:rPr>
          <w:rFonts w:ascii="Times New Roman" w:eastAsia="Times New Roman" w:hAnsi="Times New Roman" w:cs="Times New Roman"/>
          <w:sz w:val="18"/>
          <w:szCs w:val="18"/>
        </w:rPr>
        <w:t>Ors</w:t>
      </w:r>
      <w:proofErr w:type="spellEnd"/>
      <w:r>
        <w:rPr>
          <w:rFonts w:ascii="Times New Roman" w:eastAsia="Times New Roman" w:hAnsi="Times New Roman" w:cs="Times New Roman"/>
          <w:sz w:val="18"/>
          <w:szCs w:val="18"/>
        </w:rPr>
        <w:t xml:space="preserve"> [CA 1649/2022]</w:t>
      </w:r>
    </w:p>
  </w:footnote>
  <w:footnote w:id="27">
    <w:p w14:paraId="27F93387"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17">
        <w:r>
          <w:rPr>
            <w:rFonts w:ascii="Times New Roman" w:eastAsia="Times New Roman" w:hAnsi="Times New Roman" w:cs="Times New Roman"/>
            <w:color w:val="1155CC"/>
            <w:sz w:val="18"/>
            <w:szCs w:val="18"/>
            <w:u w:val="single"/>
          </w:rPr>
          <w:t>https://www.livelaw.in/top-stories/sebi-v-sat-supreme-court-stays-order-of-securities-appellate-tribunal-imposing-rs-8-lakhs-cost-on-sebi-194354</w:t>
        </w:r>
      </w:hyperlink>
      <w:r>
        <w:rPr>
          <w:rFonts w:ascii="Times New Roman" w:eastAsia="Times New Roman" w:hAnsi="Times New Roman" w:cs="Times New Roman"/>
          <w:sz w:val="18"/>
          <w:szCs w:val="18"/>
        </w:rPr>
        <w:t xml:space="preserve"> </w:t>
      </w:r>
    </w:p>
  </w:footnote>
  <w:footnote w:id="28">
    <w:p w14:paraId="1E3A9956"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18">
        <w:r>
          <w:rPr>
            <w:rFonts w:ascii="Times New Roman" w:eastAsia="Times New Roman" w:hAnsi="Times New Roman" w:cs="Times New Roman"/>
            <w:color w:val="1155CC"/>
            <w:sz w:val="18"/>
            <w:szCs w:val="18"/>
            <w:u w:val="single"/>
          </w:rPr>
          <w:t>https://www</w:t>
        </w:r>
        <w:r>
          <w:rPr>
            <w:rFonts w:ascii="Times New Roman" w:eastAsia="Times New Roman" w:hAnsi="Times New Roman" w:cs="Times New Roman"/>
            <w:color w:val="1155CC"/>
            <w:sz w:val="18"/>
            <w:szCs w:val="18"/>
            <w:u w:val="single"/>
          </w:rPr>
          <w:t>.mondaq.com/india/antitrust-eu-competition-/1192468/imposition-of-costs-on-sebi-a-tussle-between-sat-and-sebi</w:t>
        </w:r>
      </w:hyperlink>
    </w:p>
    <w:p w14:paraId="4919432C" w14:textId="77777777" w:rsidR="00EE2CB2" w:rsidRDefault="00EE2CB2">
      <w:pPr>
        <w:spacing w:line="240" w:lineRule="auto"/>
        <w:rPr>
          <w:sz w:val="20"/>
          <w:szCs w:val="20"/>
        </w:rPr>
      </w:pPr>
    </w:p>
  </w:footnote>
  <w:footnote w:id="29">
    <w:p w14:paraId="6932BB09" w14:textId="77777777" w:rsidR="00EE2CB2" w:rsidRDefault="00BD18D0">
      <w:pPr>
        <w:spacing w:line="240" w:lineRule="auto"/>
        <w:rPr>
          <w:sz w:val="20"/>
          <w:szCs w:val="20"/>
        </w:rPr>
      </w:pPr>
      <w:r>
        <w:rPr>
          <w:vertAlign w:val="superscript"/>
        </w:rPr>
        <w:footnoteRef/>
      </w:r>
      <w:hyperlink r:id="rId19">
        <w:r>
          <w:rPr>
            <w:rFonts w:ascii="Times New Roman" w:eastAsia="Times New Roman" w:hAnsi="Times New Roman" w:cs="Times New Roman"/>
            <w:color w:val="1155CC"/>
            <w:sz w:val="18"/>
            <w:szCs w:val="18"/>
            <w:u w:val="single"/>
          </w:rPr>
          <w:t>https://www.sebi.gov.in/legal/circulars/aug-2021/-security-an</w:t>
        </w:r>
        <w:r>
          <w:rPr>
            <w:rFonts w:ascii="Times New Roman" w:eastAsia="Times New Roman" w:hAnsi="Times New Roman" w:cs="Times New Roman"/>
            <w:color w:val="1155CC"/>
            <w:sz w:val="18"/>
            <w:szCs w:val="18"/>
            <w:u w:val="single"/>
          </w:rPr>
          <w:t>d-covenant-monitoring-using-distributed-ledger-technology_51855.html</w:t>
        </w:r>
      </w:hyperlink>
      <w:r>
        <w:rPr>
          <w:sz w:val="20"/>
          <w:szCs w:val="20"/>
        </w:rPr>
        <w:t xml:space="preserve"> </w:t>
      </w:r>
    </w:p>
  </w:footnote>
  <w:footnote w:id="30">
    <w:p w14:paraId="5A3E301E"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20">
        <w:r>
          <w:rPr>
            <w:rFonts w:ascii="Times New Roman" w:eastAsia="Times New Roman" w:hAnsi="Times New Roman" w:cs="Times New Roman"/>
            <w:color w:val="1155CC"/>
            <w:sz w:val="18"/>
            <w:szCs w:val="18"/>
            <w:u w:val="single"/>
          </w:rPr>
          <w:t>https://taxguru.in/sebi/sebi-issues-operational-guidelines-security-covenant-monitoring.html</w:t>
        </w:r>
      </w:hyperlink>
      <w:r>
        <w:rPr>
          <w:rFonts w:ascii="Times New Roman" w:eastAsia="Times New Roman" w:hAnsi="Times New Roman" w:cs="Times New Roman"/>
          <w:sz w:val="18"/>
          <w:szCs w:val="18"/>
        </w:rPr>
        <w:t xml:space="preserve"> </w:t>
      </w:r>
    </w:p>
  </w:footnote>
  <w:footnote w:id="31">
    <w:p w14:paraId="1EC8E5AA"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21">
        <w:r>
          <w:rPr>
            <w:rFonts w:ascii="Times New Roman" w:eastAsia="Times New Roman" w:hAnsi="Times New Roman" w:cs="Times New Roman"/>
            <w:color w:val="1155CC"/>
            <w:sz w:val="18"/>
            <w:szCs w:val="18"/>
            <w:u w:val="single"/>
          </w:rPr>
          <w:t>https://www.investopedia.com/terms/</w:t>
        </w:r>
        <w:r>
          <w:rPr>
            <w:rFonts w:ascii="Times New Roman" w:eastAsia="Times New Roman" w:hAnsi="Times New Roman" w:cs="Times New Roman"/>
            <w:color w:val="1155CC"/>
            <w:sz w:val="18"/>
            <w:szCs w:val="18"/>
            <w:u w:val="single"/>
          </w:rPr>
          <w:t>d/distributed-ledger-technology-dlt.asp</w:t>
        </w:r>
      </w:hyperlink>
      <w:r>
        <w:rPr>
          <w:rFonts w:ascii="Times New Roman" w:eastAsia="Times New Roman" w:hAnsi="Times New Roman" w:cs="Times New Roman"/>
          <w:sz w:val="18"/>
          <w:szCs w:val="18"/>
        </w:rPr>
        <w:t xml:space="preserve"> </w:t>
      </w:r>
    </w:p>
  </w:footnote>
  <w:footnote w:id="32">
    <w:p w14:paraId="1C1F5A6A"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i/>
          <w:sz w:val="18"/>
          <w:szCs w:val="18"/>
        </w:rPr>
        <w:t xml:space="preserve">Supra note 30 </w:t>
      </w:r>
    </w:p>
  </w:footnote>
  <w:footnote w:id="33">
    <w:p w14:paraId="79DC5C10"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22">
        <w:r>
          <w:rPr>
            <w:rFonts w:ascii="Times New Roman" w:eastAsia="Times New Roman" w:hAnsi="Times New Roman" w:cs="Times New Roman"/>
            <w:color w:val="1155CC"/>
            <w:sz w:val="18"/>
            <w:szCs w:val="18"/>
            <w:u w:val="single"/>
          </w:rPr>
          <w:t>https://www.sebi.gov.in/legal/circulars/mar-2022/operational-guidelines-for-security-and-covenant-monitoring-using-distributed-led</w:t>
        </w:r>
        <w:r>
          <w:rPr>
            <w:rFonts w:ascii="Times New Roman" w:eastAsia="Times New Roman" w:hAnsi="Times New Roman" w:cs="Times New Roman"/>
            <w:color w:val="1155CC"/>
            <w:sz w:val="18"/>
            <w:szCs w:val="18"/>
            <w:u w:val="single"/>
          </w:rPr>
          <w:t>ger-technology-dlt-_57331.html</w:t>
        </w:r>
      </w:hyperlink>
      <w:r>
        <w:rPr>
          <w:rFonts w:ascii="Times New Roman" w:eastAsia="Times New Roman" w:hAnsi="Times New Roman" w:cs="Times New Roman"/>
          <w:sz w:val="18"/>
          <w:szCs w:val="18"/>
        </w:rPr>
        <w:t xml:space="preserve"> </w:t>
      </w:r>
    </w:p>
  </w:footnote>
  <w:footnote w:id="34">
    <w:p w14:paraId="15C4BD90"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23" w:anchor="_ftnref1">
        <w:r>
          <w:rPr>
            <w:rFonts w:ascii="Times New Roman" w:eastAsia="Times New Roman" w:hAnsi="Times New Roman" w:cs="Times New Roman"/>
            <w:color w:val="1155CC"/>
            <w:sz w:val="18"/>
            <w:szCs w:val="18"/>
            <w:u w:val="single"/>
          </w:rPr>
          <w:t>https://corporate.cyrilamarchandblogs.com/2022/04/a-t</w:t>
        </w:r>
        <w:r>
          <w:rPr>
            <w:rFonts w:ascii="Times New Roman" w:eastAsia="Times New Roman" w:hAnsi="Times New Roman" w:cs="Times New Roman"/>
            <w:color w:val="1155CC"/>
            <w:sz w:val="18"/>
            <w:szCs w:val="18"/>
            <w:u w:val="single"/>
          </w:rPr>
          <w:t>echnology-driven-approach-to-achieving-compliance-sebis-operational-guidelines-for-monitoring-of-security-and-covenants/#_ftnref1</w:t>
        </w:r>
      </w:hyperlink>
      <w:r>
        <w:rPr>
          <w:rFonts w:ascii="Times New Roman" w:eastAsia="Times New Roman" w:hAnsi="Times New Roman" w:cs="Times New Roman"/>
          <w:sz w:val="18"/>
          <w:szCs w:val="18"/>
        </w:rPr>
        <w:t xml:space="preserve"> </w:t>
      </w:r>
    </w:p>
  </w:footnote>
  <w:footnote w:id="35">
    <w:p w14:paraId="37A8F895"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24">
        <w:r>
          <w:rPr>
            <w:rFonts w:ascii="Times New Roman" w:eastAsia="Times New Roman" w:hAnsi="Times New Roman" w:cs="Times New Roman"/>
            <w:color w:val="1155CC"/>
            <w:sz w:val="18"/>
            <w:szCs w:val="18"/>
            <w:u w:val="single"/>
          </w:rPr>
          <w:t>https://www.sebi.gov.in/legal/circulars/may-2022/relaxation-from-compliance-with-certain-provisions-of-the-sebi-listing-obligations-and-disclosure-requirements-regulations-201</w:t>
        </w:r>
        <w:r>
          <w:rPr>
            <w:rFonts w:ascii="Times New Roman" w:eastAsia="Times New Roman" w:hAnsi="Times New Roman" w:cs="Times New Roman"/>
            <w:color w:val="1155CC"/>
            <w:sz w:val="18"/>
            <w:szCs w:val="18"/>
            <w:u w:val="single"/>
          </w:rPr>
          <w:t>5_58920.html</w:t>
        </w:r>
      </w:hyperlink>
      <w:r>
        <w:rPr>
          <w:rFonts w:ascii="Times New Roman" w:eastAsia="Times New Roman" w:hAnsi="Times New Roman" w:cs="Times New Roman"/>
          <w:sz w:val="18"/>
          <w:szCs w:val="18"/>
        </w:rPr>
        <w:t xml:space="preserve"> </w:t>
      </w:r>
    </w:p>
  </w:footnote>
  <w:footnote w:id="36">
    <w:p w14:paraId="6855399A"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hyperlink r:id="rId25" w:anchor=":~:text=The%20Visakhapatnam%20Bench%20of%20the,the%20Income%20Tax%20Act%2C%201961">
        <w:r>
          <w:rPr>
            <w:rFonts w:ascii="Times New Roman" w:eastAsia="Times New Roman" w:hAnsi="Times New Roman" w:cs="Times New Roman"/>
            <w:color w:val="1155CC"/>
            <w:sz w:val="18"/>
            <w:szCs w:val="18"/>
            <w:u w:val="single"/>
          </w:rPr>
          <w:t>https://www.livelaw.in/news</w:t>
        </w:r>
        <w:r>
          <w:rPr>
            <w:rFonts w:ascii="Times New Roman" w:eastAsia="Times New Roman" w:hAnsi="Times New Roman" w:cs="Times New Roman"/>
            <w:color w:val="1155CC"/>
            <w:sz w:val="18"/>
            <w:szCs w:val="18"/>
            <w:u w:val="single"/>
          </w:rPr>
          <w:t>-updates/itat-income-tax-act-foreign-trade-development-and-regulation-act-201068#:~:text=The%20Visakhapatnam%20Bench%20of%20the,the%20Income%20Tax%20Act%2C%201961</w:t>
        </w:r>
      </w:hyperlink>
      <w:r>
        <w:rPr>
          <w:rFonts w:ascii="Times New Roman" w:eastAsia="Times New Roman" w:hAnsi="Times New Roman" w:cs="Times New Roman"/>
          <w:sz w:val="18"/>
          <w:szCs w:val="18"/>
        </w:rPr>
        <w:t xml:space="preserve"> </w:t>
      </w:r>
    </w:p>
  </w:footnote>
  <w:footnote w:id="37">
    <w:p w14:paraId="288FC21B"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Nekkanti</w:t>
      </w:r>
      <w:proofErr w:type="spellEnd"/>
      <w:r>
        <w:rPr>
          <w:rFonts w:ascii="Times New Roman" w:eastAsia="Times New Roman" w:hAnsi="Times New Roman" w:cs="Times New Roman"/>
          <w:sz w:val="18"/>
          <w:szCs w:val="18"/>
        </w:rPr>
        <w:t xml:space="preserve"> Sea Foods Ltd. v. Principal Commissioner of Income Tax </w:t>
      </w:r>
      <w:proofErr w:type="spellStart"/>
      <w:r>
        <w:rPr>
          <w:rFonts w:ascii="Times New Roman" w:eastAsia="Times New Roman" w:hAnsi="Times New Roman" w:cs="Times New Roman"/>
          <w:sz w:val="18"/>
          <w:szCs w:val="18"/>
        </w:rPr>
        <w:t>i.i.a.</w:t>
      </w:r>
      <w:proofErr w:type="spellEnd"/>
      <w:r>
        <w:rPr>
          <w:rFonts w:ascii="Times New Roman" w:eastAsia="Times New Roman" w:hAnsi="Times New Roman" w:cs="Times New Roman"/>
          <w:sz w:val="18"/>
          <w:szCs w:val="18"/>
        </w:rPr>
        <w:t xml:space="preserve"> no. 156/viz/2</w:t>
      </w:r>
      <w:r>
        <w:rPr>
          <w:rFonts w:ascii="Times New Roman" w:eastAsia="Times New Roman" w:hAnsi="Times New Roman" w:cs="Times New Roman"/>
          <w:sz w:val="18"/>
          <w:szCs w:val="18"/>
        </w:rPr>
        <w:t>021</w:t>
      </w:r>
    </w:p>
  </w:footnote>
  <w:footnote w:id="38">
    <w:p w14:paraId="2E1654A2"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CIT Vs M/s Meghalaya Steels Ltd [(2016) 383 ITR 217 (SC)]</w:t>
      </w:r>
    </w:p>
  </w:footnote>
  <w:footnote w:id="39">
    <w:p w14:paraId="29B9A7FD"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Asst. Commissioner of Income Tax v. The </w:t>
      </w:r>
      <w:proofErr w:type="spellStart"/>
      <w:r>
        <w:rPr>
          <w:rFonts w:ascii="Times New Roman" w:eastAsia="Times New Roman" w:hAnsi="Times New Roman" w:cs="Times New Roman"/>
          <w:sz w:val="18"/>
          <w:szCs w:val="18"/>
        </w:rPr>
        <w:t>Eluru</w:t>
      </w:r>
      <w:proofErr w:type="spellEnd"/>
      <w:r>
        <w:rPr>
          <w:rFonts w:ascii="Times New Roman" w:eastAsia="Times New Roman" w:hAnsi="Times New Roman" w:cs="Times New Roman"/>
          <w:sz w:val="18"/>
          <w:szCs w:val="18"/>
        </w:rPr>
        <w:t xml:space="preserve"> Cooperative Urban Bank Ltd.  I.I.A. No.384/Viz/2018 </w:t>
      </w:r>
    </w:p>
  </w:footnote>
  <w:footnote w:id="40">
    <w:p w14:paraId="526E6648" w14:textId="77777777" w:rsidR="00EE2CB2" w:rsidRDefault="00BD18D0">
      <w:pPr>
        <w:spacing w:line="240" w:lineRule="auto"/>
        <w:rPr>
          <w:rFonts w:ascii="Times New Roman" w:eastAsia="Times New Roman" w:hAnsi="Times New Roman" w:cs="Times New Roman"/>
          <w:i/>
          <w:sz w:val="18"/>
          <w:szCs w:val="18"/>
        </w:rPr>
      </w:pPr>
      <w:r>
        <w:rPr>
          <w:vertAlign w:val="superscript"/>
        </w:rPr>
        <w:footnoteRef/>
      </w:r>
      <w:r>
        <w:rPr>
          <w:rFonts w:ascii="Times New Roman" w:eastAsia="Times New Roman" w:hAnsi="Times New Roman" w:cs="Times New Roman"/>
          <w:i/>
          <w:sz w:val="18"/>
          <w:szCs w:val="18"/>
        </w:rPr>
        <w:t xml:space="preserve">Supra 37 </w:t>
      </w:r>
    </w:p>
  </w:footnote>
  <w:footnote w:id="41">
    <w:p w14:paraId="7056BC08"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26">
        <w:r>
          <w:rPr>
            <w:rFonts w:ascii="Times New Roman" w:eastAsia="Times New Roman" w:hAnsi="Times New Roman" w:cs="Times New Roman"/>
            <w:color w:val="1155CC"/>
            <w:sz w:val="18"/>
            <w:szCs w:val="18"/>
            <w:u w:val="single"/>
          </w:rPr>
          <w:t>https://e</w:t>
        </w:r>
        <w:r>
          <w:rPr>
            <w:rFonts w:ascii="Times New Roman" w:eastAsia="Times New Roman" w:hAnsi="Times New Roman" w:cs="Times New Roman"/>
            <w:color w:val="1155CC"/>
            <w:sz w:val="18"/>
            <w:szCs w:val="18"/>
            <w:u w:val="single"/>
          </w:rPr>
          <w:t>gazette.nic.in/WriteReadData/2022/235912.pdf</w:t>
        </w:r>
      </w:hyperlink>
      <w:r>
        <w:rPr>
          <w:rFonts w:ascii="Times New Roman" w:eastAsia="Times New Roman" w:hAnsi="Times New Roman" w:cs="Times New Roman"/>
          <w:sz w:val="18"/>
          <w:szCs w:val="18"/>
        </w:rPr>
        <w:t xml:space="preserve"> </w:t>
      </w:r>
    </w:p>
  </w:footnote>
  <w:footnote w:id="42">
    <w:p w14:paraId="4A7883FB" w14:textId="77777777" w:rsidR="00EE2CB2" w:rsidRDefault="00BD18D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27">
        <w:r>
          <w:rPr>
            <w:rFonts w:ascii="Times New Roman" w:eastAsia="Times New Roman" w:hAnsi="Times New Roman" w:cs="Times New Roman"/>
            <w:color w:val="1155CC"/>
            <w:sz w:val="18"/>
            <w:szCs w:val="18"/>
            <w:u w:val="single"/>
          </w:rPr>
          <w:t>https://egazette.nic.in/WriteReadData/2022/236112.pdf</w:t>
        </w:r>
      </w:hyperlink>
      <w:r>
        <w:rPr>
          <w:rFonts w:ascii="Times New Roman" w:eastAsia="Times New Roman" w:hAnsi="Times New Roman" w:cs="Times New Roman"/>
          <w:sz w:val="18"/>
          <w:szCs w:val="18"/>
        </w:rPr>
        <w:t xml:space="preserve"> </w:t>
      </w:r>
    </w:p>
  </w:footnote>
  <w:footnote w:id="43">
    <w:p w14:paraId="0C6BFE71" w14:textId="77777777" w:rsidR="00EE2CB2" w:rsidRDefault="00BD18D0">
      <w:pPr>
        <w:spacing w:line="240" w:lineRule="auto"/>
        <w:jc w:val="both"/>
        <w:rPr>
          <w:rFonts w:ascii="Times New Roman" w:eastAsia="Times New Roman" w:hAnsi="Times New Roman" w:cs="Times New Roman"/>
          <w:sz w:val="20"/>
          <w:szCs w:val="20"/>
        </w:rPr>
      </w:pPr>
      <w:r>
        <w:rPr>
          <w:vertAlign w:val="superscript"/>
        </w:rPr>
        <w:footnoteRef/>
      </w:r>
      <w:hyperlink r:id="rId28">
        <w:r>
          <w:rPr>
            <w:rFonts w:ascii="Times New Roman" w:eastAsia="Times New Roman" w:hAnsi="Times New Roman" w:cs="Times New Roman"/>
            <w:color w:val="1155CC"/>
            <w:sz w:val="18"/>
            <w:szCs w:val="18"/>
            <w:u w:val="single"/>
          </w:rPr>
          <w:t>https://www.scconline.com/blog/post/2022/05/31/new-form-caa-16-introduced-vide-companies-com</w:t>
        </w:r>
        <w:r>
          <w:rPr>
            <w:rFonts w:ascii="Times New Roman" w:eastAsia="Times New Roman" w:hAnsi="Times New Roman" w:cs="Times New Roman"/>
            <w:color w:val="1155CC"/>
            <w:sz w:val="18"/>
            <w:szCs w:val="18"/>
            <w:u w:val="single"/>
          </w:rPr>
          <w:t>promises-arrangements-and-amalgamations-amendment-rules-2022/</w:t>
        </w:r>
      </w:hyperlink>
      <w:r>
        <w:rPr>
          <w:rFonts w:ascii="Times New Roman" w:eastAsia="Times New Roman" w:hAnsi="Times New Roman" w:cs="Times New Roman"/>
          <w:sz w:val="18"/>
          <w:szCs w:val="18"/>
        </w:rPr>
        <w:t xml:space="preserve"> </w:t>
      </w:r>
    </w:p>
  </w:footnote>
  <w:footnote w:id="44">
    <w:p w14:paraId="260CE8C1" w14:textId="77777777" w:rsidR="00EE2CB2" w:rsidRDefault="00BD18D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29">
        <w:r>
          <w:rPr>
            <w:rFonts w:ascii="Times New Roman" w:eastAsia="Times New Roman" w:hAnsi="Times New Roman" w:cs="Times New Roman"/>
            <w:color w:val="1155CC"/>
            <w:sz w:val="20"/>
            <w:szCs w:val="20"/>
            <w:u w:val="single"/>
          </w:rPr>
          <w:t>http://cacult.com/new-form-caa-16-has-been-inserted-under-the-companies-act/</w:t>
        </w:r>
      </w:hyperlink>
      <w:r>
        <w:rPr>
          <w:rFonts w:ascii="Times New Roman" w:eastAsia="Times New Roman" w:hAnsi="Times New Roman" w:cs="Times New Roman"/>
          <w:sz w:val="20"/>
          <w:szCs w:val="20"/>
        </w:rPr>
        <w:t xml:space="preserve"> </w:t>
      </w:r>
    </w:p>
    <w:p w14:paraId="5849F453" w14:textId="77777777" w:rsidR="00EE2CB2" w:rsidRDefault="00EE2CB2">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4A4"/>
    <w:multiLevelType w:val="multilevel"/>
    <w:tmpl w:val="1CB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D4863"/>
    <w:multiLevelType w:val="multilevel"/>
    <w:tmpl w:val="91B8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4176A"/>
    <w:multiLevelType w:val="multilevel"/>
    <w:tmpl w:val="F51A6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43E30"/>
    <w:multiLevelType w:val="multilevel"/>
    <w:tmpl w:val="CB925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801621"/>
    <w:multiLevelType w:val="multilevel"/>
    <w:tmpl w:val="343E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421413"/>
    <w:multiLevelType w:val="multilevel"/>
    <w:tmpl w:val="B67E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2944A0"/>
    <w:multiLevelType w:val="multilevel"/>
    <w:tmpl w:val="02CCC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2A3D6B"/>
    <w:multiLevelType w:val="multilevel"/>
    <w:tmpl w:val="C7BA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E86614"/>
    <w:multiLevelType w:val="multilevel"/>
    <w:tmpl w:val="9D124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79A115A"/>
    <w:multiLevelType w:val="multilevel"/>
    <w:tmpl w:val="A82AD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617AD1"/>
    <w:multiLevelType w:val="multilevel"/>
    <w:tmpl w:val="01F80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951456"/>
    <w:multiLevelType w:val="multilevel"/>
    <w:tmpl w:val="B818E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1023D5"/>
    <w:multiLevelType w:val="multilevel"/>
    <w:tmpl w:val="9E04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A78DF"/>
    <w:multiLevelType w:val="multilevel"/>
    <w:tmpl w:val="9392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0691021">
    <w:abstractNumId w:val="1"/>
  </w:num>
  <w:num w:numId="2" w16cid:durableId="1781410553">
    <w:abstractNumId w:val="6"/>
  </w:num>
  <w:num w:numId="3" w16cid:durableId="806244625">
    <w:abstractNumId w:val="13"/>
  </w:num>
  <w:num w:numId="4" w16cid:durableId="930894958">
    <w:abstractNumId w:val="2"/>
  </w:num>
  <w:num w:numId="5" w16cid:durableId="1415666287">
    <w:abstractNumId w:val="9"/>
  </w:num>
  <w:num w:numId="6" w16cid:durableId="747969428">
    <w:abstractNumId w:val="4"/>
  </w:num>
  <w:num w:numId="7" w16cid:durableId="1993630402">
    <w:abstractNumId w:val="11"/>
  </w:num>
  <w:num w:numId="8" w16cid:durableId="821429172">
    <w:abstractNumId w:val="3"/>
  </w:num>
  <w:num w:numId="9" w16cid:durableId="640769105">
    <w:abstractNumId w:val="12"/>
  </w:num>
  <w:num w:numId="10" w16cid:durableId="280840622">
    <w:abstractNumId w:val="10"/>
  </w:num>
  <w:num w:numId="11" w16cid:durableId="190413572">
    <w:abstractNumId w:val="0"/>
  </w:num>
  <w:num w:numId="12" w16cid:durableId="1450466862">
    <w:abstractNumId w:val="8"/>
  </w:num>
  <w:num w:numId="13" w16cid:durableId="1051807282">
    <w:abstractNumId w:val="7"/>
  </w:num>
  <w:num w:numId="14" w16cid:durableId="139271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B2"/>
    <w:rsid w:val="0011394E"/>
    <w:rsid w:val="005E5967"/>
    <w:rsid w:val="00857ABD"/>
    <w:rsid w:val="00A81116"/>
    <w:rsid w:val="00BD18D0"/>
    <w:rsid w:val="00C027D1"/>
    <w:rsid w:val="00CE1504"/>
    <w:rsid w:val="00E00C4B"/>
    <w:rsid w:val="00EB6A0C"/>
    <w:rsid w:val="00EE2CB2"/>
    <w:rsid w:val="00F7295C"/>
    <w:rsid w:val="00FE42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FC04"/>
  <w15:docId w15:val="{36C46017-1F75-FD4A-94A5-8FBCF21B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mages.assettype.com/barandbench/2022-03/ea7d22a1-a7ac-4802-8390-f550f79e94d9/Rahul_Carbon_Commercials_Pvt_Ltd_vs_Kohinoor_Steel_Pvt_Ltd.pdf" TargetMode="External"/><Relationship Id="rId13" Type="http://schemas.openxmlformats.org/officeDocument/2006/relationships/hyperlink" Target="https://indiacorplaw.in/2022/04/supreme-court-clarifies-evidentiary-burden-in-insider-trading-cases.html" TargetMode="External"/><Relationship Id="rId18" Type="http://schemas.openxmlformats.org/officeDocument/2006/relationships/hyperlink" Target="https://www.mondaq.com/india/antitrust-eu-competition-/1192468/imposition-of-costs-on-sebi-a-tussle-between-sat-and-sebi" TargetMode="External"/><Relationship Id="rId26" Type="http://schemas.openxmlformats.org/officeDocument/2006/relationships/hyperlink" Target="https://egazette.nic.in/WriteReadData/2022/235912.pdf" TargetMode="External"/><Relationship Id="rId3" Type="http://schemas.openxmlformats.org/officeDocument/2006/relationships/hyperlink" Target="https://efiling.nclat.gov.in/nclat/order_view.php?path=L05DTEFUX0RvY3VtZW50cy9DSVNfRG9jdW1lbnRzL2Nhc2Vkb2Mvb3JkZXJzL0RFTEhJLzIwMjItMDMtMTYvY291cnRzLzEvZGFpbHkvMTY0NzQyMzAzNTMzNDc2NTA1ODYyMzFhZTNiNjRkOGMucGRm" TargetMode="External"/><Relationship Id="rId21" Type="http://schemas.openxmlformats.org/officeDocument/2006/relationships/hyperlink" Target="https://www.investopedia.com/terms/d/distributed-ledger-technology-dlt.asp" TargetMode="External"/><Relationship Id="rId7" Type="http://schemas.openxmlformats.org/officeDocument/2006/relationships/hyperlink" Target="https://www.verdictum.in/court-updates/supreme-court/supreme-court-nclt-or-nclat-cannot-sit-in-an-appeal-over-commercial-wisdom-of-coc-1373373" TargetMode="External"/><Relationship Id="rId12" Type="http://schemas.openxmlformats.org/officeDocument/2006/relationships/hyperlink" Target="https://www.livelaw.in/top-stories/insider-trading-cant-be-presumed-due-to-proximity-between-parties-onus-to-prove-is-on-sebi-supreme-court-197218" TargetMode="External"/><Relationship Id="rId17" Type="http://schemas.openxmlformats.org/officeDocument/2006/relationships/hyperlink" Target="https://www.livelaw.in/top-stories/sebi-v-sat-supreme-court-stays-order-of-securities-appellate-tribunal-imposing-rs-8-lakhs-cost-on-sebi-194354" TargetMode="External"/><Relationship Id="rId25" Type="http://schemas.openxmlformats.org/officeDocument/2006/relationships/hyperlink" Target="https://www.livelaw.in/news-updates/itat-income-tax-act-foreign-trade-development-and-regulation-act-201068" TargetMode="External"/><Relationship Id="rId2" Type="http://schemas.openxmlformats.org/officeDocument/2006/relationships/hyperlink" Target="https://www.barandbench.com/news/litigation/breaking-nclat-upholds-200-crore-penalty-imposed-by-cci-on-amazon-for-discrepancies-in-future-deal" TargetMode="External"/><Relationship Id="rId16" Type="http://schemas.openxmlformats.org/officeDocument/2006/relationships/hyperlink" Target="https://www.mondaq.com/india/antitrust-eu-competition-/1192468/imposition-of-costs-on-sebi-a-tussle-between-sat-and-sebi" TargetMode="External"/><Relationship Id="rId20" Type="http://schemas.openxmlformats.org/officeDocument/2006/relationships/hyperlink" Target="https://taxguru.in/sebi/sebi-issues-operational-guidelines-security-covenant-monitoring.html" TargetMode="External"/><Relationship Id="rId29" Type="http://schemas.openxmlformats.org/officeDocument/2006/relationships/hyperlink" Target="http://cacult.com/new-form-caa-16-has-been-inserted-under-the-companies-act/" TargetMode="External"/><Relationship Id="rId1" Type="http://schemas.openxmlformats.org/officeDocument/2006/relationships/hyperlink" Target="https://www.livelaw.in/pdf_upload/1655101602-421763.pdf" TargetMode="External"/><Relationship Id="rId6" Type="http://schemas.openxmlformats.org/officeDocument/2006/relationships/hyperlink" Target="https://ibclaw.in/section-60-adjudicating-authority-for-corporate-persons/" TargetMode="External"/><Relationship Id="rId11" Type="http://schemas.openxmlformats.org/officeDocument/2006/relationships/hyperlink" Target="https://www.livelaw.in/top-stories/bihar-drt-not-functional-supreme-court-stays-e-auction-of-a-property-191881" TargetMode="External"/><Relationship Id="rId24" Type="http://schemas.openxmlformats.org/officeDocument/2006/relationships/hyperlink" Target="https://www.sebi.gov.in/legal/circulars/may-2022/relaxation-from-compliance-with-certain-provisions-of-the-sebi-listing-obligations-and-disclosure-requirements-regulations-2015_58920.html" TargetMode="External"/><Relationship Id="rId5" Type="http://schemas.openxmlformats.org/officeDocument/2006/relationships/hyperlink" Target="https://ibclaw.in/section-7-initiation-of-corporate-insolvency-resolution-process-by-financial-creditor-chapter-ii-corporate-insolvency-resolution-processcirp-part-ii-insolvency-resolution-and-liquidation-for-corpor/" TargetMode="External"/><Relationship Id="rId15" Type="http://schemas.openxmlformats.org/officeDocument/2006/relationships/hyperlink" Target="https://www.livelaw.in/pdf_upload/e2022jo202168982-416610.pdf" TargetMode="External"/><Relationship Id="rId23" Type="http://schemas.openxmlformats.org/officeDocument/2006/relationships/hyperlink" Target="https://corporate.cyrilamarchandblogs.com/2022/04/a-technology-driven-approach-to-achieving-compliance-sebis-operational-guidelines-for-monitoring-of-security-and-covenants/" TargetMode="External"/><Relationship Id="rId28" Type="http://schemas.openxmlformats.org/officeDocument/2006/relationships/hyperlink" Target="https://www.scconline.com/blog/post/2022/05/31/new-form-caa-16-introduced-vide-companies-compromises-arrangements-and-amalgamations-amendment-rules-2022/" TargetMode="External"/><Relationship Id="rId10" Type="http://schemas.openxmlformats.org/officeDocument/2006/relationships/hyperlink" Target="https://www.livelaw.in/pdf_upload/chandan-kumar-v-state-of-bihar-409733.pdf" TargetMode="External"/><Relationship Id="rId19" Type="http://schemas.openxmlformats.org/officeDocument/2006/relationships/hyperlink" Target="https://www.sebi.gov.in/legal/circulars/aug-2021/-security-and-covenant-monitoring-using-distributed-ledger-technology_51855.html" TargetMode="External"/><Relationship Id="rId4" Type="http://schemas.openxmlformats.org/officeDocument/2006/relationships/hyperlink" Target="https://www.verdictum.in/court-updates/supreme-court/supreme-court-nclt-or-nclat-cannot-sit-in-an-appeal-over-commercial-wisdom-of-coc-1373373" TargetMode="External"/><Relationship Id="rId9" Type="http://schemas.openxmlformats.org/officeDocument/2006/relationships/hyperlink" Target="https://images.assettype.com/barandbench/2022-03/ea7d22a1-a7ac-4802-8390-f550f79e94d9/Rahul_Carbon_Commercials_Pvt_Ltd_vs_Kohinoor_Steel_Pvt_Ltd.pdf" TargetMode="External"/><Relationship Id="rId14" Type="http://schemas.openxmlformats.org/officeDocument/2006/relationships/hyperlink" Target="https://www.taxmann.com/post/blog/sc-sets-aside-insider-trading-orders-against-p-chand-jeweller/" TargetMode="External"/><Relationship Id="rId22" Type="http://schemas.openxmlformats.org/officeDocument/2006/relationships/hyperlink" Target="https://www.sebi.gov.in/legal/circulars/mar-2022/operational-guidelines-for-security-and-covenant-monitoring-using-distributed-ledger-technology-dlt-_57331.html" TargetMode="External"/><Relationship Id="rId27" Type="http://schemas.openxmlformats.org/officeDocument/2006/relationships/hyperlink" Target="https://egazette.nic.in/WriteReadData/2022/236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22</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Shahid Saifi</cp:lastModifiedBy>
  <cp:revision>2</cp:revision>
  <dcterms:created xsi:type="dcterms:W3CDTF">2022-07-06T09:47:00Z</dcterms:created>
  <dcterms:modified xsi:type="dcterms:W3CDTF">2022-07-06T09:47:00Z</dcterms:modified>
</cp:coreProperties>
</file>