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702A7" w:rsidRDefault="00000000">
      <w:pPr>
        <w:pStyle w:val="Heading1"/>
        <w:jc w:val="both"/>
        <w:rPr>
          <w:color w:val="000000"/>
          <w:sz w:val="24"/>
          <w:szCs w:val="24"/>
        </w:rPr>
      </w:pPr>
      <w:r>
        <w:rPr>
          <w:color w:val="000000"/>
          <w:sz w:val="24"/>
          <w:szCs w:val="24"/>
        </w:rPr>
        <w:t>Editor’s Note</w:t>
      </w:r>
    </w:p>
    <w:p w14:paraId="00000002" w14:textId="77777777" w:rsidR="003702A7" w:rsidRDefault="00000000">
      <w:pPr>
        <w:pStyle w:val="Heading1"/>
        <w:jc w:val="both"/>
        <w:rPr>
          <w:color w:val="000000"/>
          <w:sz w:val="24"/>
          <w:szCs w:val="24"/>
        </w:rPr>
      </w:pPr>
      <w:bookmarkStart w:id="0" w:name="_Hlk122514279"/>
      <w:r>
        <w:rPr>
          <w:b w:val="0"/>
          <w:color w:val="000000"/>
          <w:sz w:val="24"/>
          <w:szCs w:val="24"/>
        </w:rPr>
        <w:t>This edition of our Corporate and Commercial Law Bulletin brings to the reader major judgments from commercial courts/tribunals of India and the recent notifications from regulatory bodies such as the Ministry of Corporate Affairs (MCA) and Securities and Exchange Board of India (SEBI) to better equip the reader with the current corporate &amp; commercial legal scenario.</w:t>
      </w:r>
    </w:p>
    <w:bookmarkEnd w:id="0"/>
    <w:p w14:paraId="00000003" w14:textId="77777777" w:rsidR="003702A7" w:rsidRDefault="00000000">
      <w:pPr>
        <w:pStyle w:val="Heading1"/>
        <w:jc w:val="both"/>
        <w:rPr>
          <w:color w:val="000000"/>
          <w:sz w:val="24"/>
          <w:szCs w:val="24"/>
        </w:rPr>
      </w:pPr>
      <w:r>
        <w:rPr>
          <w:b w:val="0"/>
          <w:color w:val="000000"/>
          <w:sz w:val="24"/>
          <w:szCs w:val="24"/>
        </w:rPr>
        <w:t xml:space="preserve">Regulating the regulators - from the </w:t>
      </w:r>
      <w:r>
        <w:rPr>
          <w:color w:val="000000"/>
          <w:sz w:val="24"/>
          <w:szCs w:val="24"/>
        </w:rPr>
        <w:t>Supreme Court</w:t>
      </w:r>
      <w:r>
        <w:rPr>
          <w:b w:val="0"/>
          <w:color w:val="000000"/>
          <w:sz w:val="24"/>
          <w:szCs w:val="24"/>
        </w:rPr>
        <w:t xml:space="preserve"> deciding on a dispute between the Regulator (SEBI) and Reliance Industries, to a power struggle in the Delhi</w:t>
      </w:r>
      <w:r>
        <w:rPr>
          <w:color w:val="000000"/>
          <w:sz w:val="24"/>
          <w:szCs w:val="24"/>
        </w:rPr>
        <w:t xml:space="preserve"> High Cour</w:t>
      </w:r>
      <w:r>
        <w:rPr>
          <w:b w:val="0"/>
          <w:color w:val="000000"/>
          <w:sz w:val="24"/>
          <w:szCs w:val="24"/>
        </w:rPr>
        <w:t>t between Estonian ‘Bolt Technology OU’ and Indian ‘</w:t>
      </w:r>
      <w:proofErr w:type="spellStart"/>
      <w:r>
        <w:rPr>
          <w:b w:val="0"/>
          <w:color w:val="000000"/>
          <w:sz w:val="24"/>
          <w:szCs w:val="24"/>
        </w:rPr>
        <w:t>Ujoy</w:t>
      </w:r>
      <w:proofErr w:type="spellEnd"/>
      <w:r>
        <w:rPr>
          <w:b w:val="0"/>
          <w:color w:val="000000"/>
          <w:sz w:val="24"/>
          <w:szCs w:val="24"/>
        </w:rPr>
        <w:t xml:space="preserve"> Technology’ over rights for the word ‘BOLT’ on their products.</w:t>
      </w:r>
    </w:p>
    <w:p w14:paraId="00000004" w14:textId="77777777" w:rsidR="003702A7" w:rsidRDefault="00000000">
      <w:pPr>
        <w:pStyle w:val="Heading1"/>
        <w:jc w:val="both"/>
        <w:rPr>
          <w:color w:val="000000"/>
          <w:sz w:val="24"/>
          <w:szCs w:val="24"/>
        </w:rPr>
      </w:pPr>
      <w:r>
        <w:rPr>
          <w:b w:val="0"/>
          <w:color w:val="000000"/>
          <w:sz w:val="24"/>
          <w:szCs w:val="24"/>
        </w:rPr>
        <w:t>To dissecting the recently amended guidelines for usage of unused funding in the Corporate Social Responsibility (</w:t>
      </w:r>
      <w:r>
        <w:rPr>
          <w:color w:val="000000"/>
          <w:sz w:val="24"/>
          <w:szCs w:val="24"/>
        </w:rPr>
        <w:t>CSR</w:t>
      </w:r>
      <w:r>
        <w:rPr>
          <w:b w:val="0"/>
          <w:color w:val="000000"/>
          <w:sz w:val="24"/>
          <w:szCs w:val="24"/>
        </w:rPr>
        <w:t>) Policy and a plethora of other judgements, we have attempted to compile and put forward the recent updates in the domain of corporate law and decisions from various tribunals like National Company Law Tribunal (</w:t>
      </w:r>
      <w:r>
        <w:rPr>
          <w:color w:val="000000"/>
          <w:sz w:val="24"/>
          <w:szCs w:val="24"/>
        </w:rPr>
        <w:t>NCLT</w:t>
      </w:r>
      <w:r>
        <w:rPr>
          <w:b w:val="0"/>
          <w:color w:val="000000"/>
          <w:sz w:val="24"/>
          <w:szCs w:val="24"/>
        </w:rPr>
        <w:t>) and Income Tax Appellate Tribunal (</w:t>
      </w:r>
      <w:r>
        <w:rPr>
          <w:color w:val="000000"/>
          <w:sz w:val="24"/>
          <w:szCs w:val="24"/>
        </w:rPr>
        <w:t>ITAT</w:t>
      </w:r>
      <w:r>
        <w:rPr>
          <w:b w:val="0"/>
          <w:color w:val="000000"/>
          <w:sz w:val="24"/>
          <w:szCs w:val="24"/>
        </w:rPr>
        <w:t>) across the nation.</w:t>
      </w:r>
    </w:p>
    <w:p w14:paraId="00000006" w14:textId="0A42CDCC" w:rsidR="003702A7" w:rsidRPr="001A65BE"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hope that you find the following read insightful in enhancing your knowledge of the corporate law domain. Happy and meaningful reading!</w:t>
      </w:r>
    </w:p>
    <w:p w14:paraId="00000007" w14:textId="77777777" w:rsidR="003702A7" w:rsidRDefault="003702A7"/>
    <w:p w14:paraId="00000008" w14:textId="77777777" w:rsidR="003702A7" w:rsidRDefault="00000000">
      <w:pPr>
        <w:pStyle w:val="Heading1"/>
      </w:pPr>
      <w:bookmarkStart w:id="1" w:name="_heading=h.gjdgxs" w:colFirst="0" w:colLast="0"/>
      <w:bookmarkEnd w:id="1"/>
      <w:r>
        <w:rPr>
          <w:sz w:val="24"/>
          <w:szCs w:val="24"/>
        </w:rPr>
        <w:t xml:space="preserve">Supreme Court (SC) Judgements </w:t>
      </w:r>
    </w:p>
    <w:p w14:paraId="00000009" w14:textId="77777777" w:rsidR="003702A7" w:rsidRDefault="00000000">
      <w:pPr>
        <w:numPr>
          <w:ilvl w:val="0"/>
          <w:numId w:val="9"/>
        </w:numPr>
        <w:rPr>
          <w:rFonts w:ascii="Times New Roman" w:eastAsia="Times New Roman" w:hAnsi="Times New Roman" w:cs="Times New Roman"/>
          <w:b/>
        </w:rPr>
      </w:pPr>
      <w:r>
        <w:rPr>
          <w:rFonts w:ascii="Times New Roman" w:eastAsia="Times New Roman" w:hAnsi="Times New Roman" w:cs="Times New Roman"/>
          <w:b/>
        </w:rPr>
        <w:t xml:space="preserve">"Regulator Has To Act Fairly": Supreme Court </w:t>
      </w:r>
      <w:hyperlink r:id="rId8">
        <w:r>
          <w:rPr>
            <w:rFonts w:ascii="Times New Roman" w:eastAsia="Times New Roman" w:hAnsi="Times New Roman" w:cs="Times New Roman"/>
            <w:b/>
            <w:color w:val="1155CC"/>
            <w:u w:val="single"/>
          </w:rPr>
          <w:t>orders</w:t>
        </w:r>
      </w:hyperlink>
      <w:r>
        <w:rPr>
          <w:rFonts w:ascii="Times New Roman" w:eastAsia="Times New Roman" w:hAnsi="Times New Roman" w:cs="Times New Roman"/>
          <w:b/>
        </w:rPr>
        <w:t xml:space="preserve"> SEBI to disclose fact-finding documents to  Reliance Industries with complaint-filing materials</w:t>
      </w:r>
    </w:p>
    <w:p w14:paraId="0000000A" w14:textId="77777777" w:rsidR="003702A7" w:rsidRDefault="003702A7">
      <w:pPr>
        <w:rPr>
          <w:rFonts w:ascii="Times New Roman" w:eastAsia="Times New Roman" w:hAnsi="Times New Roman" w:cs="Times New Roman"/>
          <w:b/>
        </w:rPr>
      </w:pPr>
    </w:p>
    <w:p w14:paraId="0000000B"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In the case of</w:t>
      </w:r>
      <w:r>
        <w:rPr>
          <w:rFonts w:ascii="Times New Roman" w:eastAsia="Times New Roman" w:hAnsi="Times New Roman" w:cs="Times New Roman"/>
          <w:b/>
        </w:rPr>
        <w:t xml:space="preserve"> </w:t>
      </w:r>
      <w:hyperlink r:id="rId9">
        <w:r>
          <w:rPr>
            <w:rFonts w:ascii="Times New Roman" w:eastAsia="Times New Roman" w:hAnsi="Times New Roman" w:cs="Times New Roman"/>
            <w:b/>
            <w:color w:val="1155CC"/>
            <w:u w:val="single"/>
          </w:rPr>
          <w:t xml:space="preserve">Reliance Industries Limited </w:t>
        </w:r>
      </w:hyperlink>
      <w:hyperlink r:id="rId10">
        <w:r>
          <w:rPr>
            <w:rFonts w:ascii="Times New Roman" w:eastAsia="Times New Roman" w:hAnsi="Times New Roman" w:cs="Times New Roman"/>
            <w:color w:val="1155CC"/>
            <w:u w:val="single"/>
          </w:rPr>
          <w:t>(hereinafter referred as RIL)</w:t>
        </w:r>
      </w:hyperlink>
      <w:hyperlink r:id="rId11">
        <w:r>
          <w:rPr>
            <w:rFonts w:ascii="Times New Roman" w:eastAsia="Times New Roman" w:hAnsi="Times New Roman" w:cs="Times New Roman"/>
            <w:b/>
            <w:color w:val="1155CC"/>
            <w:u w:val="single"/>
          </w:rPr>
          <w:t xml:space="preserve"> v. Securities and Exchange Board of India</w:t>
        </w:r>
      </w:hyperlink>
      <w:hyperlink r:id="rId12">
        <w:r>
          <w:rPr>
            <w:rFonts w:ascii="Times New Roman" w:eastAsia="Times New Roman" w:hAnsi="Times New Roman" w:cs="Times New Roman"/>
            <w:color w:val="1155CC"/>
            <w:u w:val="single"/>
          </w:rPr>
          <w:t xml:space="preserve"> (hereinafter referred as SEBI) </w:t>
        </w:r>
      </w:hyperlink>
      <w:hyperlink r:id="rId13">
        <w:r>
          <w:rPr>
            <w:rFonts w:ascii="Times New Roman" w:eastAsia="Times New Roman" w:hAnsi="Times New Roman" w:cs="Times New Roman"/>
            <w:b/>
            <w:color w:val="1155CC"/>
            <w:u w:val="single"/>
          </w:rPr>
          <w:t xml:space="preserve">&amp; </w:t>
        </w:r>
        <w:proofErr w:type="spellStart"/>
        <w:r>
          <w:rPr>
            <w:rFonts w:ascii="Times New Roman" w:eastAsia="Times New Roman" w:hAnsi="Times New Roman" w:cs="Times New Roman"/>
            <w:b/>
            <w:color w:val="1155CC"/>
            <w:u w:val="single"/>
          </w:rPr>
          <w:t>Ors</w:t>
        </w:r>
        <w:proofErr w:type="spellEnd"/>
      </w:hyperlink>
      <w:r>
        <w:rPr>
          <w:rFonts w:ascii="Times New Roman" w:eastAsia="Times New Roman" w:hAnsi="Times New Roman" w:cs="Times New Roman"/>
          <w:b/>
          <w:vertAlign w:val="superscript"/>
        </w:rPr>
        <w:footnoteReference w:id="1"/>
      </w:r>
      <w:r>
        <w:rPr>
          <w:rFonts w:ascii="Times New Roman" w:eastAsia="Times New Roman" w:hAnsi="Times New Roman" w:cs="Times New Roman"/>
        </w:rPr>
        <w:t xml:space="preserve">, a division bench of the Supreme Court observes that the SEBI is bound to act fairly and in a transparent manner which is in line with the Principles of natural justice. SEBI was asked to share a copy of certain opinion documents to RIL which it was reluctant to share, as those opinions were </w:t>
      </w:r>
      <w:proofErr w:type="gramStart"/>
      <w:r>
        <w:rPr>
          <w:rFonts w:ascii="Times New Roman" w:eastAsia="Times New Roman" w:hAnsi="Times New Roman" w:cs="Times New Roman"/>
        </w:rPr>
        <w:t>in regard to</w:t>
      </w:r>
      <w:proofErr w:type="gramEnd"/>
      <w:r>
        <w:rPr>
          <w:rFonts w:ascii="Times New Roman" w:eastAsia="Times New Roman" w:hAnsi="Times New Roman" w:cs="Times New Roman"/>
        </w:rPr>
        <w:t xml:space="preserve"> certain fraudulent share transactions of RIL in 1994.</w:t>
      </w:r>
    </w:p>
    <w:p w14:paraId="0000000C" w14:textId="77777777" w:rsidR="003702A7" w:rsidRDefault="003702A7">
      <w:pPr>
        <w:jc w:val="both"/>
        <w:rPr>
          <w:rFonts w:ascii="Times New Roman" w:eastAsia="Times New Roman" w:hAnsi="Times New Roman" w:cs="Times New Roman"/>
        </w:rPr>
      </w:pPr>
    </w:p>
    <w:p w14:paraId="0000000D" w14:textId="77777777" w:rsidR="003702A7" w:rsidRDefault="003702A7">
      <w:pPr>
        <w:jc w:val="both"/>
        <w:rPr>
          <w:rFonts w:ascii="Times New Roman" w:eastAsia="Times New Roman" w:hAnsi="Times New Roman" w:cs="Times New Roman"/>
        </w:rPr>
      </w:pPr>
    </w:p>
    <w:p w14:paraId="0000000E" w14:textId="77777777" w:rsidR="003702A7" w:rsidRDefault="00000000">
      <w:pPr>
        <w:jc w:val="both"/>
        <w:rPr>
          <w:rFonts w:ascii="Times New Roman" w:eastAsia="Times New Roman" w:hAnsi="Times New Roman" w:cs="Times New Roman"/>
          <w:b/>
        </w:rPr>
      </w:pPr>
      <w:r>
        <w:rPr>
          <w:rFonts w:ascii="Times New Roman" w:eastAsia="Times New Roman" w:hAnsi="Times New Roman" w:cs="Times New Roman"/>
          <w:b/>
        </w:rPr>
        <w:t>Brief facts</w:t>
      </w:r>
    </w:p>
    <w:p w14:paraId="62CE222A" w14:textId="77777777" w:rsidR="008E750A"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The issue relates back to 1994 when around 12 crore equity shares of RIL were allotted fraudulently to entities allegedly connected with the promoters of RIL. SEBI initiated a probe into these share transactions and sought the opinion of former Supreme Court Justice BN </w:t>
      </w:r>
      <w:proofErr w:type="spellStart"/>
      <w:r>
        <w:rPr>
          <w:rFonts w:ascii="Times New Roman" w:eastAsia="Times New Roman" w:hAnsi="Times New Roman" w:cs="Times New Roman"/>
        </w:rPr>
        <w:t>Srikrishna</w:t>
      </w:r>
      <w:proofErr w:type="spellEnd"/>
      <w:r>
        <w:rPr>
          <w:rFonts w:ascii="Times New Roman" w:eastAsia="Times New Roman" w:hAnsi="Times New Roman" w:cs="Times New Roman"/>
        </w:rPr>
        <w:t xml:space="preserve"> (Retd.) twice and a reputed Chartered Accountant, YH </w:t>
      </w:r>
      <w:proofErr w:type="spellStart"/>
      <w:r>
        <w:rPr>
          <w:rFonts w:ascii="Times New Roman" w:eastAsia="Times New Roman" w:hAnsi="Times New Roman" w:cs="Times New Roman"/>
        </w:rPr>
        <w:t>Malegam</w:t>
      </w:r>
      <w:proofErr w:type="spellEnd"/>
      <w:r>
        <w:rPr>
          <w:rFonts w:ascii="Times New Roman" w:eastAsia="Times New Roman" w:hAnsi="Times New Roman" w:cs="Times New Roman"/>
        </w:rPr>
        <w:t>.</w:t>
      </w:r>
    </w:p>
    <w:p w14:paraId="0000000F" w14:textId="6AE5A333" w:rsidR="003702A7" w:rsidRDefault="00000000">
      <w:pPr>
        <w:jc w:val="both"/>
        <w:rPr>
          <w:rFonts w:ascii="Times New Roman" w:eastAsia="Times New Roman" w:hAnsi="Times New Roman" w:cs="Times New Roman"/>
        </w:rPr>
      </w:pPr>
      <w:r>
        <w:rPr>
          <w:rFonts w:ascii="Times New Roman" w:eastAsia="Times New Roman" w:hAnsi="Times New Roman" w:cs="Times New Roman"/>
        </w:rPr>
        <w:lastRenderedPageBreak/>
        <w:t>RIL filed for disclosure of these documents which the SEBI turned down. Consecutively, a writ petition was filed before the High Court of Bombay which was dismissed in February 2019. A Special Leave Petition (SLP) was filed before the Supreme Court to take up the matter.</w:t>
      </w:r>
    </w:p>
    <w:p w14:paraId="276F3BC1" w14:textId="77777777" w:rsidR="001A65BE" w:rsidRDefault="001A65BE">
      <w:pPr>
        <w:jc w:val="both"/>
        <w:rPr>
          <w:rFonts w:ascii="Times New Roman" w:eastAsia="Times New Roman" w:hAnsi="Times New Roman" w:cs="Times New Roman"/>
        </w:rPr>
      </w:pPr>
    </w:p>
    <w:p w14:paraId="00000010" w14:textId="5403D974"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Subsequently, SEBI filed a complaint in the Court of SEBI Special Judge, Mumbai for violation of Companies Act, 1957 and SEBI Regulations. The Special Court dismissed the complaint as being barred by limitation. This order was challenged by SEBI in a Criminal Revision Application before the High Court of Bombay. </w:t>
      </w:r>
    </w:p>
    <w:p w14:paraId="00000011" w14:textId="77777777" w:rsidR="003702A7" w:rsidRDefault="003702A7">
      <w:pPr>
        <w:jc w:val="both"/>
        <w:rPr>
          <w:rFonts w:ascii="Times New Roman" w:eastAsia="Times New Roman" w:hAnsi="Times New Roman" w:cs="Times New Roman"/>
        </w:rPr>
      </w:pPr>
    </w:p>
    <w:p w14:paraId="00000012"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Through an interim application, RIL filed for disclosure of the reports by Justice BN </w:t>
      </w:r>
      <w:proofErr w:type="spellStart"/>
      <w:r>
        <w:rPr>
          <w:rFonts w:ascii="Times New Roman" w:eastAsia="Times New Roman" w:hAnsi="Times New Roman" w:cs="Times New Roman"/>
        </w:rPr>
        <w:t>Srikrishna</w:t>
      </w:r>
      <w:proofErr w:type="spellEnd"/>
      <w:r>
        <w:rPr>
          <w:rFonts w:ascii="Times New Roman" w:eastAsia="Times New Roman" w:hAnsi="Times New Roman" w:cs="Times New Roman"/>
        </w:rPr>
        <w:t xml:space="preserve"> (Retd.) and </w:t>
      </w:r>
      <w:proofErr w:type="spellStart"/>
      <w:proofErr w:type="gramStart"/>
      <w:r>
        <w:rPr>
          <w:rFonts w:ascii="Times New Roman" w:eastAsia="Times New Roman" w:hAnsi="Times New Roman" w:cs="Times New Roman"/>
        </w:rPr>
        <w:t>Sh.YH</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Malegam</w:t>
      </w:r>
      <w:proofErr w:type="spellEnd"/>
      <w:r>
        <w:rPr>
          <w:rFonts w:ascii="Times New Roman" w:eastAsia="Times New Roman" w:hAnsi="Times New Roman" w:cs="Times New Roman"/>
        </w:rPr>
        <w:t xml:space="preserve">. The HC refused to adjudicate on this application stating that it cannot be decided without hearing the main revision application. RIL challenged this order through an SLP before the Supreme Court. </w:t>
      </w:r>
    </w:p>
    <w:p w14:paraId="00000013" w14:textId="77777777" w:rsidR="003702A7" w:rsidRDefault="00000000">
      <w:pPr>
        <w:jc w:val="both"/>
        <w:rPr>
          <w:rFonts w:ascii="Times New Roman" w:eastAsia="Times New Roman" w:hAnsi="Times New Roman" w:cs="Times New Roman"/>
          <w:b/>
        </w:rPr>
      </w:pPr>
      <w:r>
        <w:rPr>
          <w:rFonts w:ascii="Times New Roman" w:eastAsia="Times New Roman" w:hAnsi="Times New Roman" w:cs="Times New Roman"/>
          <w:b/>
        </w:rPr>
        <w:t>-</w:t>
      </w:r>
    </w:p>
    <w:p w14:paraId="00000014" w14:textId="77777777" w:rsidR="003702A7" w:rsidRDefault="00000000">
      <w:pPr>
        <w:jc w:val="both"/>
        <w:rPr>
          <w:rFonts w:ascii="Times New Roman" w:eastAsia="Times New Roman" w:hAnsi="Times New Roman" w:cs="Times New Roman"/>
          <w:b/>
        </w:rPr>
      </w:pPr>
      <w:r>
        <w:rPr>
          <w:rFonts w:ascii="Times New Roman" w:eastAsia="Times New Roman" w:hAnsi="Times New Roman" w:cs="Times New Roman"/>
          <w:b/>
        </w:rPr>
        <w:t>SEBI’s arguments</w:t>
      </w:r>
    </w:p>
    <w:p w14:paraId="00000015" w14:textId="77777777" w:rsidR="003702A7" w:rsidRDefault="003702A7">
      <w:pPr>
        <w:jc w:val="both"/>
        <w:rPr>
          <w:rFonts w:ascii="Times New Roman" w:eastAsia="Times New Roman" w:hAnsi="Times New Roman" w:cs="Times New Roman"/>
        </w:rPr>
      </w:pPr>
    </w:p>
    <w:p w14:paraId="00000016"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The argument of SEBI is that the documents can be sought only under </w:t>
      </w:r>
      <w:hyperlink r:id="rId14">
        <w:r>
          <w:rPr>
            <w:rFonts w:ascii="Times New Roman" w:eastAsia="Times New Roman" w:hAnsi="Times New Roman" w:cs="Times New Roman"/>
            <w:color w:val="1155CC"/>
            <w:u w:val="single"/>
          </w:rPr>
          <w:t>Section 207 of the Code of Criminal Procedure, 1973</w:t>
        </w:r>
      </w:hyperlink>
      <w:r>
        <w:rPr>
          <w:rFonts w:ascii="Times New Roman" w:eastAsia="Times New Roman" w:hAnsi="Times New Roman" w:cs="Times New Roman"/>
        </w:rPr>
        <w:t xml:space="preserve"> after the criminal court takes cognizance of the complaint.</w:t>
      </w:r>
    </w:p>
    <w:p w14:paraId="00000017" w14:textId="77777777" w:rsidR="003702A7" w:rsidRDefault="003702A7">
      <w:pPr>
        <w:jc w:val="both"/>
        <w:rPr>
          <w:rFonts w:ascii="Times New Roman" w:eastAsia="Times New Roman" w:hAnsi="Times New Roman" w:cs="Times New Roman"/>
        </w:rPr>
      </w:pPr>
    </w:p>
    <w:p w14:paraId="00000018" w14:textId="77777777" w:rsidR="003702A7" w:rsidRDefault="00000000">
      <w:pPr>
        <w:jc w:val="both"/>
        <w:rPr>
          <w:rFonts w:ascii="Times New Roman" w:eastAsia="Times New Roman" w:hAnsi="Times New Roman" w:cs="Times New Roman"/>
          <w:b/>
        </w:rPr>
      </w:pPr>
      <w:r>
        <w:rPr>
          <w:rFonts w:ascii="Times New Roman" w:eastAsia="Times New Roman" w:hAnsi="Times New Roman" w:cs="Times New Roman"/>
        </w:rPr>
        <w:t xml:space="preserve">The SEBI also placed reliance on </w:t>
      </w:r>
      <w:hyperlink r:id="rId15">
        <w:r>
          <w:rPr>
            <w:rFonts w:ascii="Times New Roman" w:eastAsia="Times New Roman" w:hAnsi="Times New Roman" w:cs="Times New Roman"/>
            <w:color w:val="1155CC"/>
            <w:u w:val="single"/>
          </w:rPr>
          <w:t>Section 129 of the Indian Evidence Act,1872</w:t>
        </w:r>
      </w:hyperlink>
      <w:r>
        <w:rPr>
          <w:rFonts w:ascii="Times New Roman" w:eastAsia="Times New Roman" w:hAnsi="Times New Roman" w:cs="Times New Roman"/>
        </w:rPr>
        <w:t xml:space="preserve"> which prohibits compulsion to disclose confidential communications with legal advisors. </w:t>
      </w:r>
    </w:p>
    <w:p w14:paraId="00000019" w14:textId="77777777" w:rsidR="003702A7" w:rsidRDefault="003702A7">
      <w:pPr>
        <w:jc w:val="both"/>
        <w:rPr>
          <w:rFonts w:ascii="Times New Roman" w:eastAsia="Times New Roman" w:hAnsi="Times New Roman" w:cs="Times New Roman"/>
          <w:b/>
        </w:rPr>
      </w:pPr>
    </w:p>
    <w:p w14:paraId="0000001A" w14:textId="77777777" w:rsidR="003702A7" w:rsidRDefault="00000000">
      <w:pPr>
        <w:jc w:val="both"/>
        <w:rPr>
          <w:rFonts w:ascii="Times New Roman" w:eastAsia="Times New Roman" w:hAnsi="Times New Roman" w:cs="Times New Roman"/>
          <w:b/>
        </w:rPr>
      </w:pPr>
      <w:r>
        <w:rPr>
          <w:rFonts w:ascii="Times New Roman" w:eastAsia="Times New Roman" w:hAnsi="Times New Roman" w:cs="Times New Roman"/>
          <w:b/>
        </w:rPr>
        <w:t>Reasoning of the Apex Court</w:t>
      </w:r>
    </w:p>
    <w:p w14:paraId="0000001B"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The Bench after hearing the arguments stressed on the fact that it is the duty of the Regulator to act fairly. The role of a Regulator is to deal with complaints and parties in a fair manner, and not to circumvent the rule of law for getting successful convictions. Keeping a party abreast of the information that influenced the decision promotes transparency of the judicial process, the Court added.</w:t>
      </w:r>
    </w:p>
    <w:p w14:paraId="0000001C" w14:textId="77777777" w:rsidR="003702A7" w:rsidRDefault="003702A7">
      <w:pPr>
        <w:jc w:val="both"/>
        <w:rPr>
          <w:rFonts w:ascii="Times New Roman" w:eastAsia="Times New Roman" w:hAnsi="Times New Roman" w:cs="Times New Roman"/>
        </w:rPr>
      </w:pPr>
    </w:p>
    <w:p w14:paraId="0000001D" w14:textId="77777777" w:rsidR="003702A7" w:rsidRDefault="003702A7">
      <w:pPr>
        <w:jc w:val="both"/>
        <w:rPr>
          <w:rFonts w:ascii="Times New Roman" w:eastAsia="Times New Roman" w:hAnsi="Times New Roman" w:cs="Times New Roman"/>
        </w:rPr>
      </w:pPr>
    </w:p>
    <w:p w14:paraId="0000001E"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The Court also opined that legal privilege is not applicable in the instant case, as the legal opinion was part and parcel of the investigation. </w:t>
      </w:r>
    </w:p>
    <w:p w14:paraId="0000001F" w14:textId="77777777" w:rsidR="003702A7" w:rsidRDefault="003702A7">
      <w:pPr>
        <w:jc w:val="both"/>
        <w:rPr>
          <w:rFonts w:ascii="Times New Roman" w:eastAsia="Times New Roman" w:hAnsi="Times New Roman" w:cs="Times New Roman"/>
          <w:b/>
        </w:rPr>
      </w:pPr>
    </w:p>
    <w:p w14:paraId="00000020" w14:textId="77777777" w:rsidR="003702A7" w:rsidRDefault="00000000">
      <w:pPr>
        <w:jc w:val="both"/>
        <w:rPr>
          <w:rFonts w:ascii="Times New Roman" w:eastAsia="Times New Roman" w:hAnsi="Times New Roman" w:cs="Times New Roman"/>
          <w:b/>
        </w:rPr>
      </w:pPr>
      <w:r>
        <w:rPr>
          <w:rFonts w:ascii="Times New Roman" w:eastAsia="Times New Roman" w:hAnsi="Times New Roman" w:cs="Times New Roman"/>
          <w:b/>
        </w:rPr>
        <w:t>Case referred</w:t>
      </w:r>
    </w:p>
    <w:p w14:paraId="00000021"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The court referred to the recent decision of </w:t>
      </w:r>
      <w:hyperlink r:id="rId16">
        <w:r>
          <w:rPr>
            <w:rFonts w:ascii="Times New Roman" w:eastAsia="Times New Roman" w:hAnsi="Times New Roman" w:cs="Times New Roman"/>
            <w:b/>
            <w:color w:val="1155CC"/>
            <w:u w:val="single"/>
          </w:rPr>
          <w:t xml:space="preserve">S.P. </w:t>
        </w:r>
        <w:proofErr w:type="spellStart"/>
        <w:r>
          <w:rPr>
            <w:rFonts w:ascii="Times New Roman" w:eastAsia="Times New Roman" w:hAnsi="Times New Roman" w:cs="Times New Roman"/>
            <w:b/>
            <w:color w:val="1155CC"/>
            <w:u w:val="single"/>
          </w:rPr>
          <w:t>Velumani</w:t>
        </w:r>
        <w:proofErr w:type="spellEnd"/>
        <w:r>
          <w:rPr>
            <w:rFonts w:ascii="Times New Roman" w:eastAsia="Times New Roman" w:hAnsi="Times New Roman" w:cs="Times New Roman"/>
            <w:b/>
            <w:color w:val="1155CC"/>
            <w:u w:val="single"/>
          </w:rPr>
          <w:t xml:space="preserve"> v. </w:t>
        </w:r>
        <w:proofErr w:type="spellStart"/>
        <w:r>
          <w:rPr>
            <w:rFonts w:ascii="Times New Roman" w:eastAsia="Times New Roman" w:hAnsi="Times New Roman" w:cs="Times New Roman"/>
            <w:b/>
            <w:color w:val="1155CC"/>
            <w:u w:val="single"/>
          </w:rPr>
          <w:t>Arappor</w:t>
        </w:r>
        <w:proofErr w:type="spellEnd"/>
        <w:r>
          <w:rPr>
            <w:rFonts w:ascii="Times New Roman" w:eastAsia="Times New Roman" w:hAnsi="Times New Roman" w:cs="Times New Roman"/>
            <w:b/>
            <w:color w:val="1155CC"/>
            <w:u w:val="single"/>
          </w:rPr>
          <w:t xml:space="preserve"> </w:t>
        </w:r>
        <w:proofErr w:type="spellStart"/>
        <w:r>
          <w:rPr>
            <w:rFonts w:ascii="Times New Roman" w:eastAsia="Times New Roman" w:hAnsi="Times New Roman" w:cs="Times New Roman"/>
            <w:b/>
            <w:color w:val="1155CC"/>
            <w:u w:val="single"/>
          </w:rPr>
          <w:t>Iyakkam</w:t>
        </w:r>
        <w:proofErr w:type="spellEnd"/>
        <w:r>
          <w:rPr>
            <w:rFonts w:ascii="Times New Roman" w:eastAsia="Times New Roman" w:hAnsi="Times New Roman" w:cs="Times New Roman"/>
            <w:b/>
            <w:color w:val="1155CC"/>
            <w:u w:val="single"/>
          </w:rPr>
          <w:t xml:space="preserve"> and </w:t>
        </w:r>
        <w:proofErr w:type="spellStart"/>
        <w:r>
          <w:rPr>
            <w:rFonts w:ascii="Times New Roman" w:eastAsia="Times New Roman" w:hAnsi="Times New Roman" w:cs="Times New Roman"/>
            <w:b/>
            <w:color w:val="1155CC"/>
            <w:u w:val="single"/>
          </w:rPr>
          <w:t>Ors</w:t>
        </w:r>
        <w:proofErr w:type="spellEnd"/>
        <w:r>
          <w:rPr>
            <w:rFonts w:ascii="Times New Roman" w:eastAsia="Times New Roman" w:hAnsi="Times New Roman" w:cs="Times New Roman"/>
            <w:b/>
            <w:color w:val="1155CC"/>
            <w:u w:val="single"/>
          </w:rPr>
          <w:t>. (Criminal appeal no. 867 of 2022)</w:t>
        </w:r>
      </w:hyperlink>
      <w:r>
        <w:rPr>
          <w:rFonts w:ascii="Times New Roman" w:eastAsia="Times New Roman" w:hAnsi="Times New Roman" w:cs="Times New Roman"/>
        </w:rPr>
        <w:t xml:space="preserve"> in which the court directed to share the preliminary investigation report with the accused. Relying on the judgement, it rejected the contention of SEBI.</w:t>
      </w:r>
    </w:p>
    <w:p w14:paraId="00000022" w14:textId="77777777" w:rsidR="003702A7" w:rsidRDefault="003702A7">
      <w:pPr>
        <w:jc w:val="both"/>
        <w:rPr>
          <w:rFonts w:ascii="Times New Roman" w:eastAsia="Times New Roman" w:hAnsi="Times New Roman" w:cs="Times New Roman"/>
        </w:rPr>
      </w:pPr>
    </w:p>
    <w:p w14:paraId="00000023"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The court referred to the law laid down in T. Takano v. Securities and Exchange Board of India</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which establishes a general obligation of disclosure on part of SEBI. The court held in the Takano case that there are three fundamental purposes of disclosure of information: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reliability, (ii) fair trial and (iii) transparency and accountability. The purpose of disclosure of information is towards fulfilling a larger institutional purpose of fair trial and transparency. </w:t>
      </w:r>
    </w:p>
    <w:p w14:paraId="00000024" w14:textId="77777777" w:rsidR="003702A7" w:rsidRDefault="003702A7">
      <w:pPr>
        <w:jc w:val="both"/>
        <w:rPr>
          <w:rFonts w:ascii="Times New Roman" w:eastAsia="Times New Roman" w:hAnsi="Times New Roman" w:cs="Times New Roman"/>
        </w:rPr>
      </w:pPr>
    </w:p>
    <w:p w14:paraId="00000025" w14:textId="77777777" w:rsidR="003702A7" w:rsidRDefault="003702A7">
      <w:pPr>
        <w:jc w:val="both"/>
        <w:rPr>
          <w:rFonts w:ascii="Times New Roman" w:eastAsia="Times New Roman" w:hAnsi="Times New Roman" w:cs="Times New Roman"/>
          <w:b/>
        </w:rPr>
      </w:pPr>
    </w:p>
    <w:p w14:paraId="00000026" w14:textId="77777777" w:rsidR="003702A7" w:rsidRDefault="00000000">
      <w:pPr>
        <w:jc w:val="both"/>
        <w:rPr>
          <w:rFonts w:ascii="Times New Roman" w:eastAsia="Times New Roman" w:hAnsi="Times New Roman" w:cs="Times New Roman"/>
          <w:b/>
        </w:rPr>
      </w:pPr>
      <w:r>
        <w:rPr>
          <w:rFonts w:ascii="Times New Roman" w:eastAsia="Times New Roman" w:hAnsi="Times New Roman" w:cs="Times New Roman"/>
          <w:b/>
        </w:rPr>
        <w:t>Judgement</w:t>
      </w:r>
    </w:p>
    <w:p w14:paraId="00000027" w14:textId="06B2BE83" w:rsidR="003702A7" w:rsidRDefault="00000000">
      <w:pPr>
        <w:jc w:val="both"/>
        <w:rPr>
          <w:rFonts w:ascii="Times New Roman" w:eastAsia="Times New Roman" w:hAnsi="Times New Roman" w:cs="Times New Roman"/>
        </w:rPr>
      </w:pPr>
      <w:r>
        <w:rPr>
          <w:rFonts w:ascii="Times New Roman" w:eastAsia="Times New Roman" w:hAnsi="Times New Roman" w:cs="Times New Roman"/>
        </w:rPr>
        <w:t>The court allowed the appeal and directed SEBI to furnish a copy of the following documents to RIL:</w:t>
      </w:r>
    </w:p>
    <w:p w14:paraId="00000028"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First opinion of Justice B.N. </w:t>
      </w:r>
      <w:proofErr w:type="spellStart"/>
      <w:r>
        <w:rPr>
          <w:rFonts w:ascii="Times New Roman" w:eastAsia="Times New Roman" w:hAnsi="Times New Roman" w:cs="Times New Roman"/>
        </w:rPr>
        <w:t>Srikrishna</w:t>
      </w:r>
      <w:proofErr w:type="spellEnd"/>
      <w:r>
        <w:rPr>
          <w:rFonts w:ascii="Times New Roman" w:eastAsia="Times New Roman" w:hAnsi="Times New Roman" w:cs="Times New Roman"/>
        </w:rPr>
        <w:t xml:space="preserve"> (Retd.).</w:t>
      </w:r>
    </w:p>
    <w:p w14:paraId="00000029"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Second opinion of Justice B.N. </w:t>
      </w:r>
      <w:proofErr w:type="spellStart"/>
      <w:r>
        <w:rPr>
          <w:rFonts w:ascii="Times New Roman" w:eastAsia="Times New Roman" w:hAnsi="Times New Roman" w:cs="Times New Roman"/>
        </w:rPr>
        <w:t>Srikrishna</w:t>
      </w:r>
      <w:proofErr w:type="spellEnd"/>
      <w:r>
        <w:rPr>
          <w:rFonts w:ascii="Times New Roman" w:eastAsia="Times New Roman" w:hAnsi="Times New Roman" w:cs="Times New Roman"/>
        </w:rPr>
        <w:t xml:space="preserve"> (Retd.).</w:t>
      </w:r>
    </w:p>
    <w:p w14:paraId="0000002A"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Report of Y.H. </w:t>
      </w:r>
      <w:proofErr w:type="spellStart"/>
      <w:r>
        <w:rPr>
          <w:rFonts w:ascii="Times New Roman" w:eastAsia="Times New Roman" w:hAnsi="Times New Roman" w:cs="Times New Roman"/>
        </w:rPr>
        <w:t>Malegam</w:t>
      </w:r>
      <w:proofErr w:type="spellEnd"/>
      <w:r>
        <w:rPr>
          <w:rFonts w:ascii="Times New Roman" w:eastAsia="Times New Roman" w:hAnsi="Times New Roman" w:cs="Times New Roman"/>
        </w:rPr>
        <w:t>.</w:t>
      </w:r>
    </w:p>
    <w:p w14:paraId="0000002B" w14:textId="77777777" w:rsidR="003702A7" w:rsidRDefault="003702A7">
      <w:pPr>
        <w:jc w:val="both"/>
        <w:rPr>
          <w:rFonts w:ascii="Times New Roman" w:eastAsia="Times New Roman" w:hAnsi="Times New Roman" w:cs="Times New Roman"/>
        </w:rPr>
      </w:pPr>
    </w:p>
    <w:p w14:paraId="0000002C" w14:textId="77777777" w:rsidR="003702A7" w:rsidRDefault="00000000">
      <w:pPr>
        <w:jc w:val="both"/>
        <w:rPr>
          <w:rFonts w:ascii="Times New Roman" w:eastAsia="Times New Roman" w:hAnsi="Times New Roman" w:cs="Times New Roman"/>
          <w:b/>
        </w:rPr>
      </w:pPr>
      <w:r>
        <w:rPr>
          <w:rFonts w:ascii="Times New Roman" w:eastAsia="Times New Roman" w:hAnsi="Times New Roman" w:cs="Times New Roman"/>
          <w:b/>
        </w:rPr>
        <w:t>Analysis</w:t>
      </w:r>
    </w:p>
    <w:p w14:paraId="0000002D"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Regulators like SEBI should avoid unnecessary criminal actions against large corporations as such conduct can cause adverse economic consequences in the country.</w:t>
      </w:r>
    </w:p>
    <w:p w14:paraId="0000002E" w14:textId="77777777" w:rsidR="003702A7" w:rsidRDefault="003702A7">
      <w:pPr>
        <w:jc w:val="both"/>
        <w:rPr>
          <w:rFonts w:ascii="Times New Roman" w:eastAsia="Times New Roman" w:hAnsi="Times New Roman" w:cs="Times New Roman"/>
        </w:rPr>
      </w:pPr>
    </w:p>
    <w:p w14:paraId="0000002F" w14:textId="77777777" w:rsidR="003702A7" w:rsidRDefault="00000000">
      <w:pPr>
        <w:jc w:val="both"/>
        <w:rPr>
          <w:rFonts w:ascii="Times New Roman" w:eastAsia="Times New Roman" w:hAnsi="Times New Roman" w:cs="Times New Roman"/>
          <w:b/>
        </w:rPr>
      </w:pPr>
      <w:r>
        <w:rPr>
          <w:rFonts w:ascii="Times New Roman" w:eastAsia="Times New Roman" w:hAnsi="Times New Roman" w:cs="Times New Roman"/>
        </w:rPr>
        <w:t>Also, the regulatory bodies need to act in a fair and transparent manner as their actions are tied to the Principles of Natural Justice.</w:t>
      </w:r>
    </w:p>
    <w:p w14:paraId="00000030" w14:textId="77777777" w:rsidR="003702A7"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31" w14:textId="77777777" w:rsidR="003702A7"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2. </w:t>
      </w:r>
      <w:hyperlink r:id="rId17" w:anchor=":~:text=The%20Supreme%20Court%20observed%20that,Banerjee%20and%20AS%20Bopanna%20said.">
        <w:r>
          <w:rPr>
            <w:rFonts w:ascii="Times New Roman" w:eastAsia="Times New Roman" w:hAnsi="Times New Roman" w:cs="Times New Roman"/>
            <w:b/>
            <w:color w:val="1155CC"/>
            <w:u w:val="single"/>
          </w:rPr>
          <w:t xml:space="preserve">Court cannot modify the award passed by the Arbitrator under Section 34 or Section 37 of the Arbitration and Conciliation Act: Supreme Court reiterated </w:t>
        </w:r>
      </w:hyperlink>
    </w:p>
    <w:p w14:paraId="00000032" w14:textId="77777777" w:rsidR="003702A7" w:rsidRDefault="003702A7">
      <w:pPr>
        <w:jc w:val="both"/>
        <w:rPr>
          <w:rFonts w:ascii="Times New Roman" w:eastAsia="Times New Roman" w:hAnsi="Times New Roman" w:cs="Times New Roman"/>
          <w:b/>
        </w:rPr>
      </w:pPr>
    </w:p>
    <w:p w14:paraId="00000033" w14:textId="77777777" w:rsidR="003702A7" w:rsidRDefault="00000000">
      <w:pPr>
        <w:jc w:val="both"/>
        <w:rPr>
          <w:rFonts w:ascii="Times New Roman" w:eastAsia="Times New Roman" w:hAnsi="Times New Roman" w:cs="Times New Roman"/>
          <w:highlight w:val="white"/>
        </w:rPr>
      </w:pPr>
      <w:r>
        <w:rPr>
          <w:rFonts w:ascii="Times New Roman" w:eastAsia="Times New Roman" w:hAnsi="Times New Roman" w:cs="Times New Roman"/>
        </w:rPr>
        <w:t xml:space="preserve">In the case of </w:t>
      </w:r>
      <w:hyperlink r:id="rId18">
        <w:r>
          <w:rPr>
            <w:rFonts w:ascii="Times New Roman" w:eastAsia="Times New Roman" w:hAnsi="Times New Roman" w:cs="Times New Roman"/>
            <w:b/>
            <w:color w:val="1155CC"/>
            <w:highlight w:val="white"/>
            <w:u w:val="single"/>
          </w:rPr>
          <w:t xml:space="preserve">National Highway Authority of India v. Sri P. </w:t>
        </w:r>
        <w:proofErr w:type="spellStart"/>
        <w:r>
          <w:rPr>
            <w:rFonts w:ascii="Times New Roman" w:eastAsia="Times New Roman" w:hAnsi="Times New Roman" w:cs="Times New Roman"/>
            <w:b/>
            <w:color w:val="1155CC"/>
            <w:highlight w:val="white"/>
            <w:u w:val="single"/>
          </w:rPr>
          <w:t>Nagaraju</w:t>
        </w:r>
        <w:proofErr w:type="spellEnd"/>
        <w:r>
          <w:rPr>
            <w:rFonts w:ascii="Times New Roman" w:eastAsia="Times New Roman" w:hAnsi="Times New Roman" w:cs="Times New Roman"/>
            <w:b/>
            <w:color w:val="1155CC"/>
            <w:highlight w:val="white"/>
            <w:u w:val="single"/>
          </w:rPr>
          <w:t xml:space="preserve"> @ </w:t>
        </w:r>
        <w:proofErr w:type="spellStart"/>
        <w:r>
          <w:rPr>
            <w:rFonts w:ascii="Times New Roman" w:eastAsia="Times New Roman" w:hAnsi="Times New Roman" w:cs="Times New Roman"/>
            <w:b/>
            <w:color w:val="1155CC"/>
            <w:highlight w:val="white"/>
            <w:u w:val="single"/>
          </w:rPr>
          <w:t>Cheluvaiah</w:t>
        </w:r>
        <w:proofErr w:type="spellEnd"/>
        <w:r>
          <w:rPr>
            <w:rFonts w:ascii="Times New Roman" w:eastAsia="Times New Roman" w:hAnsi="Times New Roman" w:cs="Times New Roman"/>
            <w:b/>
            <w:color w:val="1155CC"/>
            <w:highlight w:val="white"/>
            <w:u w:val="single"/>
          </w:rPr>
          <w:t xml:space="preserve"> &amp; </w:t>
        </w:r>
        <w:proofErr w:type="spellStart"/>
        <w:r>
          <w:rPr>
            <w:rFonts w:ascii="Times New Roman" w:eastAsia="Times New Roman" w:hAnsi="Times New Roman" w:cs="Times New Roman"/>
            <w:b/>
            <w:color w:val="1155CC"/>
            <w:highlight w:val="white"/>
            <w:u w:val="single"/>
          </w:rPr>
          <w:t>Anr</w:t>
        </w:r>
        <w:proofErr w:type="spellEnd"/>
      </w:hyperlink>
      <w:r>
        <w:rPr>
          <w:rFonts w:ascii="Times New Roman" w:eastAsia="Times New Roman" w:hAnsi="Times New Roman" w:cs="Times New Roman"/>
          <w:highlight w:val="white"/>
          <w:vertAlign w:val="superscript"/>
        </w:rPr>
        <w:footnoteReference w:id="3"/>
      </w:r>
      <w:r>
        <w:rPr>
          <w:rFonts w:ascii="Times New Roman" w:eastAsia="Times New Roman" w:hAnsi="Times New Roman" w:cs="Times New Roman"/>
          <w:highlight w:val="white"/>
        </w:rPr>
        <w:t>,  a division bench of the Supreme Court held that a Court can only set aside the award passed by the Arbitrator and remand the matter but cannot modify the award.</w:t>
      </w:r>
    </w:p>
    <w:p w14:paraId="00000034" w14:textId="77777777" w:rsidR="003702A7" w:rsidRDefault="003702A7">
      <w:pPr>
        <w:jc w:val="both"/>
        <w:rPr>
          <w:rFonts w:ascii="Times New Roman" w:eastAsia="Times New Roman" w:hAnsi="Times New Roman" w:cs="Times New Roman"/>
          <w:b/>
        </w:rPr>
      </w:pPr>
    </w:p>
    <w:p w14:paraId="00000035" w14:textId="77777777" w:rsidR="003702A7"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Facts </w:t>
      </w:r>
    </w:p>
    <w:p w14:paraId="00000036"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The Supreme Court was considering appeals filed by the National Highways Authority of India ('NHAI') against the decision of the High Court of Karnataka which upheld the award passed by Deputy Commissioner and Arbitrator, National Highway – 275 (land acquisition), and Deputy Commissioner-1 and Arbitrator Bengaluru Urban District, to enhance the compensation from Rs.2026/- per sq. </w:t>
      </w:r>
      <w:proofErr w:type="spellStart"/>
      <w:r>
        <w:rPr>
          <w:rFonts w:ascii="Times New Roman" w:eastAsia="Times New Roman" w:hAnsi="Times New Roman" w:cs="Times New Roman"/>
        </w:rPr>
        <w:t>mtr</w:t>
      </w:r>
      <w:proofErr w:type="spellEnd"/>
      <w:r>
        <w:rPr>
          <w:rFonts w:ascii="Times New Roman" w:eastAsia="Times New Roman" w:hAnsi="Times New Roman" w:cs="Times New Roman"/>
        </w:rPr>
        <w:t xml:space="preserve"> and Rs.17,200/- determined by the Special Land Acquisition Officer ('SLAO' for short) to Rs.15,400/- per sq. </w:t>
      </w:r>
      <w:proofErr w:type="spellStart"/>
      <w:r>
        <w:rPr>
          <w:rFonts w:ascii="Times New Roman" w:eastAsia="Times New Roman" w:hAnsi="Times New Roman" w:cs="Times New Roman"/>
        </w:rPr>
        <w:t>mtr</w:t>
      </w:r>
      <w:proofErr w:type="spellEnd"/>
      <w:r>
        <w:rPr>
          <w:rFonts w:ascii="Times New Roman" w:eastAsia="Times New Roman" w:hAnsi="Times New Roman" w:cs="Times New Roman"/>
        </w:rPr>
        <w:t xml:space="preserve"> and Rs.25,800/- respectively.</w:t>
      </w:r>
    </w:p>
    <w:p w14:paraId="00000037" w14:textId="77777777" w:rsidR="003702A7" w:rsidRDefault="003702A7">
      <w:pPr>
        <w:jc w:val="both"/>
        <w:rPr>
          <w:rFonts w:ascii="Times New Roman" w:eastAsia="Times New Roman" w:hAnsi="Times New Roman" w:cs="Times New Roman"/>
          <w:b/>
        </w:rPr>
      </w:pPr>
    </w:p>
    <w:p w14:paraId="00000038" w14:textId="71541E52" w:rsidR="003702A7" w:rsidRDefault="00000000">
      <w:pPr>
        <w:jc w:val="both"/>
        <w:rPr>
          <w:rFonts w:ascii="Times New Roman" w:eastAsia="Times New Roman" w:hAnsi="Times New Roman" w:cs="Times New Roman"/>
        </w:rPr>
      </w:pPr>
      <w:r>
        <w:rPr>
          <w:rFonts w:ascii="Times New Roman" w:eastAsia="Times New Roman" w:hAnsi="Times New Roman" w:cs="Times New Roman"/>
          <w:b/>
        </w:rPr>
        <w:t>Issues Raised:</w:t>
      </w:r>
    </w:p>
    <w:p w14:paraId="00000039"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Whether an appropriate consideration has been made by the Arbitrator in the matter of applying the market value notified as a guideline value under the notification dated 28.03.2016.</w:t>
      </w:r>
    </w:p>
    <w:p w14:paraId="0000003A" w14:textId="77777777" w:rsidR="003702A7" w:rsidRDefault="003702A7">
      <w:pPr>
        <w:jc w:val="both"/>
        <w:rPr>
          <w:rFonts w:ascii="Times New Roman" w:eastAsia="Times New Roman" w:hAnsi="Times New Roman" w:cs="Times New Roman"/>
        </w:rPr>
      </w:pPr>
    </w:p>
    <w:p w14:paraId="0000003B" w14:textId="77777777" w:rsidR="003702A7" w:rsidRDefault="00000000">
      <w:pPr>
        <w:jc w:val="both"/>
        <w:rPr>
          <w:rFonts w:ascii="Times New Roman" w:eastAsia="Times New Roman" w:hAnsi="Times New Roman" w:cs="Times New Roman"/>
          <w:b/>
        </w:rPr>
      </w:pPr>
      <w:r>
        <w:rPr>
          <w:rFonts w:ascii="Times New Roman" w:eastAsia="Times New Roman" w:hAnsi="Times New Roman" w:cs="Times New Roman"/>
        </w:rPr>
        <w:t>Whether the guideline value fixed in respect of 'City Greens' and '</w:t>
      </w:r>
      <w:proofErr w:type="spellStart"/>
      <w:r>
        <w:rPr>
          <w:rFonts w:ascii="Times New Roman" w:eastAsia="Times New Roman" w:hAnsi="Times New Roman" w:cs="Times New Roman"/>
        </w:rPr>
        <w:t>Zunadu</w:t>
      </w:r>
      <w:proofErr w:type="spellEnd"/>
      <w:r>
        <w:rPr>
          <w:rFonts w:ascii="Times New Roman" w:eastAsia="Times New Roman" w:hAnsi="Times New Roman" w:cs="Times New Roman"/>
        </w:rPr>
        <w:t>' being applied automatically to the land in question was justified</w:t>
      </w:r>
      <w:r>
        <w:rPr>
          <w:rFonts w:ascii="Times New Roman" w:eastAsia="Times New Roman" w:hAnsi="Times New Roman" w:cs="Times New Roman"/>
          <w:b/>
        </w:rPr>
        <w:t>.</w:t>
      </w:r>
    </w:p>
    <w:p w14:paraId="0000003C" w14:textId="77777777" w:rsidR="003702A7" w:rsidRDefault="003702A7">
      <w:pPr>
        <w:jc w:val="both"/>
        <w:rPr>
          <w:rFonts w:ascii="Times New Roman" w:eastAsia="Times New Roman" w:hAnsi="Times New Roman" w:cs="Times New Roman"/>
          <w:b/>
        </w:rPr>
      </w:pPr>
    </w:p>
    <w:p w14:paraId="0000003D" w14:textId="77777777" w:rsidR="003702A7"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Observations of the Apex Court: </w:t>
      </w:r>
    </w:p>
    <w:p w14:paraId="0000003E"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The Arbitrator has not indicated sufficient reasons which indicate patent illegality in the award being contrary to </w:t>
      </w:r>
      <w:hyperlink r:id="rId19" w:anchor=":~:text=Free%20for%20one%20month%20and%20pay%20only%20if%20you%20like%20it.&amp;text=(2)%20The%20arbitral%20tribunal%20shall,authorised%20it%20to%20do%20so.">
        <w:r>
          <w:rPr>
            <w:rFonts w:ascii="Times New Roman" w:eastAsia="Times New Roman" w:hAnsi="Times New Roman" w:cs="Times New Roman"/>
            <w:color w:val="1155CC"/>
            <w:u w:val="single"/>
          </w:rPr>
          <w:t>Section 28(2)</w:t>
        </w:r>
      </w:hyperlink>
      <w:r>
        <w:rPr>
          <w:rFonts w:ascii="Times New Roman" w:eastAsia="Times New Roman" w:hAnsi="Times New Roman" w:cs="Times New Roman"/>
        </w:rPr>
        <w:t xml:space="preserve"> and </w:t>
      </w:r>
      <w:hyperlink r:id="rId20">
        <w:r>
          <w:rPr>
            <w:rFonts w:ascii="Times New Roman" w:eastAsia="Times New Roman" w:hAnsi="Times New Roman" w:cs="Times New Roman"/>
            <w:color w:val="1155CC"/>
            <w:u w:val="single"/>
          </w:rPr>
          <w:t>31(3)</w:t>
        </w:r>
      </w:hyperlink>
      <w:r>
        <w:rPr>
          <w:rFonts w:ascii="Times New Roman" w:eastAsia="Times New Roman" w:hAnsi="Times New Roman" w:cs="Times New Roman"/>
        </w:rPr>
        <w:t xml:space="preserve"> of </w:t>
      </w:r>
      <w:hyperlink r:id="rId21">
        <w:r>
          <w:rPr>
            <w:rFonts w:ascii="Times New Roman" w:eastAsia="Times New Roman" w:hAnsi="Times New Roman" w:cs="Times New Roman"/>
            <w:color w:val="1155CC"/>
            <w:u w:val="single"/>
          </w:rPr>
          <w:t>Arbitration and Conciliation Act, 1996</w:t>
        </w:r>
      </w:hyperlink>
      <w:r>
        <w:rPr>
          <w:rFonts w:ascii="Times New Roman" w:eastAsia="Times New Roman" w:hAnsi="Times New Roman" w:cs="Times New Roman"/>
        </w:rPr>
        <w:t>.</w:t>
      </w:r>
    </w:p>
    <w:p w14:paraId="0000003F"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Reliance placed on the guideline value notification dated 28.03.2016 for reckoning the market value of the property acquired under the preliminary notification dated 01.02.2016 by itself cannot be accepted to be a patent illegality committed by the Arbitrator.</w:t>
      </w:r>
    </w:p>
    <w:p w14:paraId="00000040"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Appropriate reasons have not been indicated by the Arbitrator to arrive at the conclusion to uniformly adopt the value of Rs.15,400/- per </w:t>
      </w:r>
      <w:proofErr w:type="spellStart"/>
      <w:r>
        <w:rPr>
          <w:rFonts w:ascii="Times New Roman" w:eastAsia="Times New Roman" w:hAnsi="Times New Roman" w:cs="Times New Roman"/>
        </w:rPr>
        <w:t>sq.mtr</w:t>
      </w:r>
      <w:proofErr w:type="spellEnd"/>
      <w:r>
        <w:rPr>
          <w:rFonts w:ascii="Times New Roman" w:eastAsia="Times New Roman" w:hAnsi="Times New Roman" w:cs="Times New Roman"/>
        </w:rPr>
        <w:t xml:space="preserve"> fixed in respect of lands in a layout which was separately indicated in the notification.</w:t>
      </w:r>
    </w:p>
    <w:p w14:paraId="00000041"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br/>
        <w:t>The Hon’ble Supreme Court thus allowed the appeal and stated:</w:t>
      </w:r>
    </w:p>
    <w:p w14:paraId="00000042" w14:textId="77777777" w:rsidR="003702A7" w:rsidRDefault="003702A7">
      <w:pPr>
        <w:jc w:val="both"/>
        <w:rPr>
          <w:rFonts w:ascii="Times New Roman" w:eastAsia="Times New Roman" w:hAnsi="Times New Roman" w:cs="Times New Roman"/>
        </w:rPr>
      </w:pPr>
    </w:p>
    <w:p w14:paraId="00000043" w14:textId="77777777" w:rsidR="003702A7" w:rsidRDefault="00000000">
      <w:pPr>
        <w:jc w:val="both"/>
        <w:rPr>
          <w:rFonts w:ascii="Times New Roman" w:eastAsia="Times New Roman" w:hAnsi="Times New Roman" w:cs="Times New Roman"/>
          <w:i/>
        </w:rPr>
      </w:pPr>
      <w:r>
        <w:rPr>
          <w:rFonts w:ascii="Times New Roman" w:eastAsia="Times New Roman" w:hAnsi="Times New Roman" w:cs="Times New Roman"/>
          <w:i/>
        </w:rPr>
        <w:t>"That being the fact situation and also the position of law being clear that</w:t>
      </w:r>
      <w:r>
        <w:rPr>
          <w:rFonts w:ascii="Times New Roman" w:eastAsia="Times New Roman" w:hAnsi="Times New Roman" w:cs="Times New Roman"/>
          <w:b/>
          <w:i/>
        </w:rPr>
        <w:t xml:space="preserve"> it would not be open for the court in the proceedings under </w:t>
      </w:r>
      <w:hyperlink r:id="rId22">
        <w:r>
          <w:rPr>
            <w:rFonts w:ascii="Times New Roman" w:eastAsia="Times New Roman" w:hAnsi="Times New Roman" w:cs="Times New Roman"/>
            <w:b/>
            <w:i/>
            <w:color w:val="1155CC"/>
            <w:u w:val="single"/>
          </w:rPr>
          <w:t>Section 34</w:t>
        </w:r>
      </w:hyperlink>
      <w:r>
        <w:rPr>
          <w:rFonts w:ascii="Times New Roman" w:eastAsia="Times New Roman" w:hAnsi="Times New Roman" w:cs="Times New Roman"/>
          <w:b/>
          <w:i/>
        </w:rPr>
        <w:t xml:space="preserve">  or in the appeal under </w:t>
      </w:r>
      <w:hyperlink r:id="rId23">
        <w:r>
          <w:rPr>
            <w:rFonts w:ascii="Times New Roman" w:eastAsia="Times New Roman" w:hAnsi="Times New Roman" w:cs="Times New Roman"/>
            <w:b/>
            <w:i/>
            <w:color w:val="1155CC"/>
            <w:u w:val="single"/>
          </w:rPr>
          <w:t>Section 37</w:t>
        </w:r>
      </w:hyperlink>
      <w:r>
        <w:rPr>
          <w:rFonts w:ascii="Times New Roman" w:eastAsia="Times New Roman" w:hAnsi="Times New Roman" w:cs="Times New Roman"/>
          <w:b/>
          <w:i/>
        </w:rPr>
        <w:t xml:space="preserve"> to modify the award, the appropriate course to be adopted in such event is to set aside the award and remit the matter to the learned Arbitrator</w:t>
      </w:r>
      <w:r>
        <w:rPr>
          <w:rFonts w:ascii="Times New Roman" w:eastAsia="Times New Roman" w:hAnsi="Times New Roman" w:cs="Times New Roman"/>
          <w:i/>
        </w:rPr>
        <w:t xml:space="preserve"> in terms of </w:t>
      </w:r>
      <w:hyperlink r:id="rId24">
        <w:r>
          <w:rPr>
            <w:rFonts w:ascii="Times New Roman" w:eastAsia="Times New Roman" w:hAnsi="Times New Roman" w:cs="Times New Roman"/>
            <w:i/>
            <w:color w:val="1155CC"/>
            <w:u w:val="single"/>
          </w:rPr>
          <w:t>Section 34(4)</w:t>
        </w:r>
      </w:hyperlink>
      <w:r>
        <w:rPr>
          <w:rFonts w:ascii="Times New Roman" w:eastAsia="Times New Roman" w:hAnsi="Times New Roman" w:cs="Times New Roman"/>
          <w:i/>
        </w:rPr>
        <w:t xml:space="preserve"> to keep in view these aspects of the matter and even if the notification dated 28.03.2016 relied upon is justified since we have indicated that the same could be relied upon, the further aspects with regard to the appropriate market value fixed under the said notification for the lands which is the subject matter of the acquisition or comparable lands is to be made based on appropriate evidence available before it and on assigning reasons for the conclusion to be reached by the learned Arbitrator. In that regard, all contentions of the parties are left open to be put forth before the learned Arbitrator."</w:t>
      </w:r>
    </w:p>
    <w:p w14:paraId="00000044" w14:textId="77777777" w:rsidR="003702A7" w:rsidRDefault="003702A7">
      <w:pPr>
        <w:jc w:val="both"/>
        <w:rPr>
          <w:rFonts w:ascii="Times New Roman" w:eastAsia="Times New Roman" w:hAnsi="Times New Roman" w:cs="Times New Roman"/>
          <w:b/>
        </w:rPr>
      </w:pPr>
    </w:p>
    <w:p w14:paraId="00000045" w14:textId="77777777" w:rsidR="003702A7" w:rsidRDefault="00000000">
      <w:pPr>
        <w:jc w:val="both"/>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_____________________________________________________________________________________</w:t>
      </w:r>
    </w:p>
    <w:p w14:paraId="00000046" w14:textId="77777777" w:rsidR="003702A7" w:rsidRDefault="003702A7">
      <w:pPr>
        <w:jc w:val="both"/>
        <w:rPr>
          <w:rFonts w:ascii="Times New Roman" w:eastAsia="Times New Roman" w:hAnsi="Times New Roman" w:cs="Times New Roman"/>
          <w:b/>
        </w:rPr>
      </w:pPr>
    </w:p>
    <w:p w14:paraId="00000047" w14:textId="77777777" w:rsidR="003702A7" w:rsidRDefault="00000000">
      <w:pPr>
        <w:pStyle w:val="Heading1"/>
        <w:jc w:val="both"/>
      </w:pPr>
      <w:bookmarkStart w:id="2" w:name="_heading=h.30j0zll" w:colFirst="0" w:colLast="0"/>
      <w:bookmarkEnd w:id="2"/>
      <w:r>
        <w:rPr>
          <w:sz w:val="24"/>
          <w:szCs w:val="24"/>
        </w:rPr>
        <w:t>High Court (HC) Judgements</w:t>
      </w:r>
    </w:p>
    <w:p w14:paraId="00000048" w14:textId="77777777" w:rsidR="003702A7" w:rsidRDefault="00000000">
      <w:pPr>
        <w:numPr>
          <w:ilvl w:val="0"/>
          <w:numId w:val="5"/>
        </w:numPr>
        <w:jc w:val="both"/>
        <w:rPr>
          <w:rFonts w:ascii="Times New Roman" w:eastAsia="Times New Roman" w:hAnsi="Times New Roman" w:cs="Times New Roman"/>
          <w:b/>
        </w:rPr>
      </w:pPr>
      <w:hyperlink r:id="rId25">
        <w:r>
          <w:rPr>
            <w:rFonts w:ascii="Times New Roman" w:eastAsia="Times New Roman" w:hAnsi="Times New Roman" w:cs="Times New Roman"/>
            <w:b/>
            <w:color w:val="1155CC"/>
            <w:u w:val="single"/>
          </w:rPr>
          <w:t xml:space="preserve">Section 2(31) the Companies Act, 2013 and the Companies (Acceptance of Deposits) Rules, 2014 are not applicable </w:t>
        </w:r>
        <w:proofErr w:type="gramStart"/>
        <w:r>
          <w:rPr>
            <w:rFonts w:ascii="Times New Roman" w:eastAsia="Times New Roman" w:hAnsi="Times New Roman" w:cs="Times New Roman"/>
            <w:b/>
            <w:color w:val="1155CC"/>
            <w:u w:val="single"/>
          </w:rPr>
          <w:t>retrospectively :</w:t>
        </w:r>
        <w:proofErr w:type="gramEnd"/>
        <w:r>
          <w:rPr>
            <w:rFonts w:ascii="Times New Roman" w:eastAsia="Times New Roman" w:hAnsi="Times New Roman" w:cs="Times New Roman"/>
            <w:b/>
            <w:color w:val="1155CC"/>
            <w:u w:val="single"/>
          </w:rPr>
          <w:t xml:space="preserve"> Delhi High Court</w:t>
        </w:r>
      </w:hyperlink>
    </w:p>
    <w:p w14:paraId="00000049" w14:textId="77777777" w:rsidR="003702A7" w:rsidRDefault="003702A7">
      <w:pPr>
        <w:jc w:val="both"/>
        <w:rPr>
          <w:rFonts w:ascii="Times New Roman" w:eastAsia="Times New Roman" w:hAnsi="Times New Roman" w:cs="Times New Roman"/>
          <w:highlight w:val="white"/>
        </w:rPr>
      </w:pPr>
    </w:p>
    <w:p w14:paraId="0000004A" w14:textId="77777777" w:rsidR="003702A7" w:rsidRDefault="00000000">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In the case of</w:t>
      </w:r>
      <w:r>
        <w:rPr>
          <w:rFonts w:ascii="Times New Roman" w:eastAsia="Times New Roman" w:hAnsi="Times New Roman" w:cs="Times New Roman"/>
          <w:color w:val="6D9EEB"/>
          <w:highlight w:val="white"/>
        </w:rPr>
        <w:t xml:space="preserve"> </w:t>
      </w:r>
      <w:hyperlink r:id="rId26">
        <w:r>
          <w:rPr>
            <w:rFonts w:ascii="Times New Roman" w:eastAsia="Times New Roman" w:hAnsi="Times New Roman" w:cs="Times New Roman"/>
            <w:color w:val="1155CC"/>
            <w:highlight w:val="white"/>
            <w:u w:val="single"/>
          </w:rPr>
          <w:t xml:space="preserve">Nitin </w:t>
        </w:r>
        <w:proofErr w:type="spellStart"/>
        <w:r>
          <w:rPr>
            <w:rFonts w:ascii="Times New Roman" w:eastAsia="Times New Roman" w:hAnsi="Times New Roman" w:cs="Times New Roman"/>
            <w:color w:val="1155CC"/>
            <w:highlight w:val="white"/>
            <w:u w:val="single"/>
          </w:rPr>
          <w:t>Rekhan</w:t>
        </w:r>
        <w:proofErr w:type="spellEnd"/>
        <w:r>
          <w:rPr>
            <w:rFonts w:ascii="Times New Roman" w:eastAsia="Times New Roman" w:hAnsi="Times New Roman" w:cs="Times New Roman"/>
            <w:color w:val="1155CC"/>
            <w:highlight w:val="white"/>
            <w:u w:val="single"/>
          </w:rPr>
          <w:t xml:space="preserve"> v. Union of India &amp; </w:t>
        </w:r>
        <w:proofErr w:type="spellStart"/>
        <w:r>
          <w:rPr>
            <w:rFonts w:ascii="Times New Roman" w:eastAsia="Times New Roman" w:hAnsi="Times New Roman" w:cs="Times New Roman"/>
            <w:color w:val="1155CC"/>
            <w:highlight w:val="white"/>
            <w:u w:val="single"/>
          </w:rPr>
          <w:t>Ors</w:t>
        </w:r>
        <w:proofErr w:type="spellEnd"/>
      </w:hyperlink>
      <w:r>
        <w:rPr>
          <w:rFonts w:ascii="Times New Roman" w:eastAsia="Times New Roman" w:hAnsi="Times New Roman" w:cs="Times New Roman"/>
          <w:highlight w:val="white"/>
        </w:rPr>
        <w:t>.</w:t>
      </w:r>
      <w:r>
        <w:rPr>
          <w:rFonts w:ascii="Times New Roman" w:eastAsia="Times New Roman" w:hAnsi="Times New Roman" w:cs="Times New Roman"/>
          <w:highlight w:val="white"/>
          <w:vertAlign w:val="superscript"/>
        </w:rPr>
        <w:footnoteReference w:id="4"/>
      </w:r>
      <w:r>
        <w:rPr>
          <w:rFonts w:ascii="Times New Roman" w:eastAsia="Times New Roman" w:hAnsi="Times New Roman" w:cs="Times New Roman"/>
          <w:highlight w:val="white"/>
        </w:rPr>
        <w:t xml:space="preserve">, a  single judge bench of Justice Chandra </w:t>
      </w:r>
      <w:proofErr w:type="spellStart"/>
      <w:r>
        <w:rPr>
          <w:rFonts w:ascii="Times New Roman" w:eastAsia="Times New Roman" w:hAnsi="Times New Roman" w:cs="Times New Roman"/>
          <w:highlight w:val="white"/>
        </w:rPr>
        <w:t>Dhari</w:t>
      </w:r>
      <w:proofErr w:type="spellEnd"/>
      <w:r>
        <w:rPr>
          <w:rFonts w:ascii="Times New Roman" w:eastAsia="Times New Roman" w:hAnsi="Times New Roman" w:cs="Times New Roman"/>
          <w:highlight w:val="white"/>
        </w:rPr>
        <w:t xml:space="preserve"> Singh held that the Companies Act, 2013 (hereinafter referred to as “The Act”) and the </w:t>
      </w:r>
      <w:r>
        <w:rPr>
          <w:rFonts w:ascii="Times New Roman" w:eastAsia="Times New Roman" w:hAnsi="Times New Roman" w:cs="Times New Roman"/>
          <w:color w:val="2A3744"/>
          <w:highlight w:val="white"/>
        </w:rPr>
        <w:t>Companies (Acceptance of Deposits) Rules, 2014</w:t>
      </w:r>
      <w:r>
        <w:rPr>
          <w:rFonts w:ascii="Times New Roman" w:eastAsia="Times New Roman" w:hAnsi="Times New Roman" w:cs="Times New Roman"/>
          <w:highlight w:val="white"/>
        </w:rPr>
        <w:t xml:space="preserve"> </w:t>
      </w:r>
      <w:r>
        <w:rPr>
          <w:rFonts w:ascii="Times New Roman" w:eastAsia="Times New Roman" w:hAnsi="Times New Roman" w:cs="Times New Roman"/>
        </w:rPr>
        <w:t>(hereinafter “2014 Rules”)</w:t>
      </w:r>
      <w:r>
        <w:rPr>
          <w:rFonts w:ascii="Times New Roman" w:eastAsia="Times New Roman" w:hAnsi="Times New Roman" w:cs="Times New Roman"/>
          <w:color w:val="2A3744"/>
          <w:highlight w:val="white"/>
        </w:rPr>
        <w:t xml:space="preserve"> cannot have retrospective application </w:t>
      </w:r>
      <w:r>
        <w:rPr>
          <w:rFonts w:ascii="Times New Roman" w:eastAsia="Times New Roman" w:hAnsi="Times New Roman" w:cs="Times New Roman"/>
          <w:highlight w:val="white"/>
        </w:rPr>
        <w:t xml:space="preserve"> with respect to a Share Purchase Agreement (SPA) in 2010.</w:t>
      </w:r>
    </w:p>
    <w:p w14:paraId="0000004B" w14:textId="77777777" w:rsidR="003702A7" w:rsidRDefault="003702A7">
      <w:pPr>
        <w:jc w:val="both"/>
        <w:rPr>
          <w:rFonts w:ascii="Times New Roman" w:eastAsia="Times New Roman" w:hAnsi="Times New Roman" w:cs="Times New Roman"/>
        </w:rPr>
      </w:pPr>
    </w:p>
    <w:p w14:paraId="0000004C" w14:textId="77777777" w:rsidR="003702A7" w:rsidRDefault="00000000">
      <w:pPr>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Facts  </w:t>
      </w:r>
    </w:p>
    <w:p w14:paraId="0000004D" w14:textId="77777777" w:rsidR="003702A7" w:rsidRDefault="003702A7">
      <w:pPr>
        <w:jc w:val="both"/>
        <w:rPr>
          <w:rFonts w:ascii="Times New Roman" w:eastAsia="Times New Roman" w:hAnsi="Times New Roman" w:cs="Times New Roman"/>
          <w:u w:val="single"/>
        </w:rPr>
      </w:pPr>
    </w:p>
    <w:p w14:paraId="0000004E"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The Petitioners paid Rs. 40,00,000 to the Respondent Company for the issuance of shares in the said company, but the Respondent failed to allot the shares and returned the amount to Petitioners. The Petitioner filed an online complaint before the Registrar of Companies alleging that the Respondent has failed to repay the interest accrued on the amount as per </w:t>
      </w:r>
      <w:hyperlink r:id="rId27">
        <w:r>
          <w:rPr>
            <w:rFonts w:ascii="Times New Roman" w:eastAsia="Times New Roman" w:hAnsi="Times New Roman" w:cs="Times New Roman"/>
            <w:color w:val="3C78D8"/>
            <w:u w:val="single"/>
          </w:rPr>
          <w:t>Rule 17 of the Companies (Acceptance of Deposits) Rules, 2014</w:t>
        </w:r>
      </w:hyperlink>
      <w:r>
        <w:rPr>
          <w:rFonts w:ascii="Times New Roman" w:eastAsia="Times New Roman" w:hAnsi="Times New Roman" w:cs="Times New Roman"/>
          <w:color w:val="3C78D8"/>
        </w:rPr>
        <w:t>.</w:t>
      </w:r>
      <w:r>
        <w:rPr>
          <w:rFonts w:ascii="Times New Roman" w:eastAsia="Times New Roman" w:hAnsi="Times New Roman" w:cs="Times New Roman"/>
        </w:rPr>
        <w:t xml:space="preserve"> The Petitioner prayed to prosecute the Respondent under </w:t>
      </w:r>
      <w:hyperlink r:id="rId28">
        <w:r>
          <w:rPr>
            <w:rFonts w:ascii="Times New Roman" w:eastAsia="Times New Roman" w:hAnsi="Times New Roman" w:cs="Times New Roman"/>
            <w:color w:val="1155CC"/>
            <w:u w:val="single"/>
          </w:rPr>
          <w:t>Section 73</w:t>
        </w:r>
      </w:hyperlink>
      <w:r>
        <w:rPr>
          <w:rFonts w:ascii="Times New Roman" w:eastAsia="Times New Roman" w:hAnsi="Times New Roman" w:cs="Times New Roman"/>
        </w:rPr>
        <w:t xml:space="preserve"> and </w:t>
      </w:r>
      <w:hyperlink r:id="rId29">
        <w:r>
          <w:rPr>
            <w:rFonts w:ascii="Times New Roman" w:eastAsia="Times New Roman" w:hAnsi="Times New Roman" w:cs="Times New Roman"/>
            <w:color w:val="1155CC"/>
            <w:u w:val="single"/>
          </w:rPr>
          <w:t>Section 76A</w:t>
        </w:r>
      </w:hyperlink>
      <w:r>
        <w:rPr>
          <w:rFonts w:ascii="Times New Roman" w:eastAsia="Times New Roman" w:hAnsi="Times New Roman" w:cs="Times New Roman"/>
        </w:rPr>
        <w:t xml:space="preserve"> of the Act.</w:t>
      </w:r>
    </w:p>
    <w:p w14:paraId="0000004F" w14:textId="77777777" w:rsidR="003702A7" w:rsidRDefault="003702A7">
      <w:pPr>
        <w:jc w:val="both"/>
        <w:rPr>
          <w:rFonts w:ascii="Times New Roman" w:eastAsia="Times New Roman" w:hAnsi="Times New Roman" w:cs="Times New Roman"/>
        </w:rPr>
      </w:pPr>
    </w:p>
    <w:p w14:paraId="00000050" w14:textId="77777777" w:rsidR="003702A7" w:rsidRDefault="00000000">
      <w:pPr>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 Petitioner’s Contentions</w:t>
      </w:r>
    </w:p>
    <w:p w14:paraId="00000051" w14:textId="77777777" w:rsidR="003702A7" w:rsidRDefault="003702A7">
      <w:pPr>
        <w:jc w:val="both"/>
        <w:rPr>
          <w:rFonts w:ascii="Times New Roman" w:eastAsia="Times New Roman" w:hAnsi="Times New Roman" w:cs="Times New Roman"/>
        </w:rPr>
      </w:pPr>
    </w:p>
    <w:p w14:paraId="00000052" w14:textId="77777777" w:rsidR="003702A7" w:rsidRDefault="00000000">
      <w:pPr>
        <w:jc w:val="both"/>
        <w:rPr>
          <w:rFonts w:ascii="Times New Roman" w:eastAsia="Times New Roman" w:hAnsi="Times New Roman" w:cs="Times New Roman"/>
          <w:highlight w:val="white"/>
        </w:rPr>
      </w:pPr>
      <w:r>
        <w:rPr>
          <w:rFonts w:ascii="Times New Roman" w:eastAsia="Times New Roman" w:hAnsi="Times New Roman" w:cs="Times New Roman"/>
        </w:rPr>
        <w:t xml:space="preserve">The counsel for the Petitioner stated that according to the definition of the term “deposit” as per </w:t>
      </w:r>
      <w:hyperlink r:id="rId30">
        <w:r>
          <w:rPr>
            <w:rFonts w:ascii="Times New Roman" w:eastAsia="Times New Roman" w:hAnsi="Times New Roman" w:cs="Times New Roman"/>
            <w:color w:val="3C78D8"/>
            <w:u w:val="single"/>
          </w:rPr>
          <w:t>Section 2(31) of the Act</w:t>
        </w:r>
      </w:hyperlink>
      <w:r>
        <w:rPr>
          <w:rFonts w:ascii="Times New Roman" w:eastAsia="Times New Roman" w:hAnsi="Times New Roman" w:cs="Times New Roman"/>
          <w:highlight w:val="white"/>
        </w:rPr>
        <w:t xml:space="preserve"> includes any receipt of money by way of deposit or loan or in any other form by a company.</w:t>
      </w:r>
    </w:p>
    <w:p w14:paraId="00000053" w14:textId="431C2D5E" w:rsidR="003702A7" w:rsidRDefault="00000000">
      <w:pPr>
        <w:jc w:val="both"/>
        <w:rPr>
          <w:rFonts w:ascii="Times New Roman" w:eastAsia="Times New Roman" w:hAnsi="Times New Roman" w:cs="Times New Roman"/>
          <w:highlight w:val="white"/>
        </w:rPr>
      </w:pPr>
      <w:hyperlink r:id="rId31">
        <w:r>
          <w:rPr>
            <w:rFonts w:ascii="Times New Roman" w:eastAsia="Times New Roman" w:hAnsi="Times New Roman" w:cs="Times New Roman"/>
            <w:color w:val="3C78D8"/>
            <w:u w:val="single"/>
          </w:rPr>
          <w:t>Rule 2(1)(C) of the 2014 Rules</w:t>
        </w:r>
      </w:hyperlink>
      <w:r>
        <w:rPr>
          <w:rFonts w:ascii="Times New Roman" w:eastAsia="Times New Roman" w:hAnsi="Times New Roman" w:cs="Times New Roman"/>
        </w:rPr>
        <w:t xml:space="preserve">, </w:t>
      </w:r>
      <w:r>
        <w:rPr>
          <w:rFonts w:ascii="Times New Roman" w:eastAsia="Times New Roman" w:hAnsi="Times New Roman" w:cs="Times New Roman"/>
          <w:highlight w:val="white"/>
        </w:rPr>
        <w:t>defines the term "deposit" and excludes various amounts received by a Company from the ambit of Deposit which shall not be considered as deposits.</w:t>
      </w:r>
    </w:p>
    <w:p w14:paraId="2B055979" w14:textId="77777777" w:rsidR="001A65BE" w:rsidRDefault="001A65BE">
      <w:pPr>
        <w:jc w:val="both"/>
        <w:rPr>
          <w:rFonts w:ascii="Times New Roman" w:eastAsia="Times New Roman" w:hAnsi="Times New Roman" w:cs="Times New Roman"/>
          <w:highlight w:val="white"/>
        </w:rPr>
      </w:pPr>
    </w:p>
    <w:p w14:paraId="00000054" w14:textId="77777777" w:rsidR="003702A7" w:rsidRDefault="00000000">
      <w:pPr>
        <w:jc w:val="both"/>
        <w:rPr>
          <w:rFonts w:ascii="Times New Roman" w:eastAsia="Times New Roman" w:hAnsi="Times New Roman" w:cs="Times New Roman"/>
          <w:highlight w:val="white"/>
          <w:u w:val="single"/>
        </w:rPr>
      </w:pPr>
      <w:r>
        <w:rPr>
          <w:rFonts w:ascii="Times New Roman" w:eastAsia="Times New Roman" w:hAnsi="Times New Roman" w:cs="Times New Roman"/>
        </w:rPr>
        <w:t>He further submits that under the provisions of</w:t>
      </w:r>
      <w:hyperlink r:id="rId32">
        <w:r>
          <w:rPr>
            <w:rFonts w:ascii="Times New Roman" w:eastAsia="Times New Roman" w:hAnsi="Times New Roman" w:cs="Times New Roman"/>
            <w:u w:val="single"/>
          </w:rPr>
          <w:t xml:space="preserve"> </w:t>
        </w:r>
      </w:hyperlink>
      <w:hyperlink r:id="rId33">
        <w:r>
          <w:rPr>
            <w:rFonts w:ascii="Times New Roman" w:eastAsia="Times New Roman" w:hAnsi="Times New Roman" w:cs="Times New Roman"/>
            <w:color w:val="3C78D8"/>
            <w:u w:val="single"/>
          </w:rPr>
          <w:t>Rule 2(1)(c)(vii) of the 2014 Rules</w:t>
        </w:r>
      </w:hyperlink>
      <w:r>
        <w:rPr>
          <w:rFonts w:ascii="Times New Roman" w:eastAsia="Times New Roman" w:hAnsi="Times New Roman" w:cs="Times New Roman"/>
          <w:color w:val="3C78D8"/>
        </w:rPr>
        <w:t>,</w:t>
      </w:r>
      <w:r>
        <w:rPr>
          <w:rFonts w:ascii="Times New Roman" w:eastAsia="Times New Roman" w:hAnsi="Times New Roman" w:cs="Times New Roman"/>
        </w:rPr>
        <w:t xml:space="preserve"> </w:t>
      </w:r>
      <w:r>
        <w:rPr>
          <w:rFonts w:ascii="Times New Roman" w:eastAsia="Times New Roman" w:hAnsi="Times New Roman" w:cs="Times New Roman"/>
          <w:highlight w:val="white"/>
        </w:rPr>
        <w:t>the money paid towards the share application for allotment was to be treated as deposits if the said money was not refunded within 60 days from acceptance.</w:t>
      </w:r>
    </w:p>
    <w:p w14:paraId="00000055" w14:textId="77777777" w:rsidR="003702A7" w:rsidRDefault="003702A7">
      <w:pPr>
        <w:jc w:val="both"/>
        <w:rPr>
          <w:rFonts w:ascii="Times New Roman" w:eastAsia="Times New Roman" w:hAnsi="Times New Roman" w:cs="Times New Roman"/>
          <w:highlight w:val="white"/>
        </w:rPr>
      </w:pPr>
    </w:p>
    <w:p w14:paraId="00000056" w14:textId="77777777" w:rsidR="003702A7" w:rsidRDefault="00000000">
      <w:pPr>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 Respondent’s Arguments</w:t>
      </w:r>
    </w:p>
    <w:p w14:paraId="00000057" w14:textId="77777777" w:rsidR="003702A7" w:rsidRDefault="00000000">
      <w:pPr>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 </w:t>
      </w:r>
    </w:p>
    <w:p w14:paraId="00000058"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The counsel for the Respondent stated that the payments made by the Petitioner for allotment of shares in the Respondent Company were done in 2010, which falls under the Companies Act, 1956 r/w the Companies (Acceptance of Deposits) Rules, 1975 and not under the Companies Act, 2013 and the Companies (Acceptance of Deposits) Rules, 2014 respectively.</w:t>
      </w:r>
    </w:p>
    <w:p w14:paraId="00000059"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 </w:t>
      </w:r>
      <w:hyperlink r:id="rId34">
        <w:r>
          <w:rPr>
            <w:rFonts w:ascii="Times New Roman" w:eastAsia="Times New Roman" w:hAnsi="Times New Roman" w:cs="Times New Roman"/>
            <w:color w:val="1155CC"/>
            <w:u w:val="single"/>
          </w:rPr>
          <w:t>General Circular</w:t>
        </w:r>
      </w:hyperlink>
      <w:r>
        <w:rPr>
          <w:rFonts w:ascii="Times New Roman" w:eastAsia="Times New Roman" w:hAnsi="Times New Roman" w:cs="Times New Roman"/>
        </w:rPr>
        <w:t xml:space="preserve"> issued by the Ministry of Corporate Affairs on 30th March 2015 stated that the amount received by a private company prior to 1st April 2014 shall be governed by the Act of 1956, and not the Companies Act, 2013. </w:t>
      </w:r>
    </w:p>
    <w:p w14:paraId="0000005A" w14:textId="77777777" w:rsidR="003702A7" w:rsidRDefault="003702A7">
      <w:pPr>
        <w:jc w:val="both"/>
        <w:rPr>
          <w:rFonts w:ascii="Times New Roman" w:eastAsia="Times New Roman" w:hAnsi="Times New Roman" w:cs="Times New Roman"/>
          <w:b/>
          <w:u w:val="single"/>
        </w:rPr>
      </w:pPr>
    </w:p>
    <w:p w14:paraId="0000005B" w14:textId="77777777" w:rsidR="003702A7" w:rsidRDefault="00000000">
      <w:pPr>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Judgement </w:t>
      </w:r>
    </w:p>
    <w:p w14:paraId="0000005C" w14:textId="77777777" w:rsidR="003702A7" w:rsidRDefault="003702A7">
      <w:pPr>
        <w:jc w:val="both"/>
        <w:rPr>
          <w:rFonts w:ascii="Times New Roman" w:eastAsia="Times New Roman" w:hAnsi="Times New Roman" w:cs="Times New Roman"/>
          <w:u w:val="single"/>
        </w:rPr>
      </w:pPr>
    </w:p>
    <w:p w14:paraId="0000005D"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The definition of “deposit” under </w:t>
      </w:r>
      <w:hyperlink r:id="rId35">
        <w:r>
          <w:rPr>
            <w:rFonts w:ascii="Times New Roman" w:eastAsia="Times New Roman" w:hAnsi="Times New Roman" w:cs="Times New Roman"/>
            <w:color w:val="1155CC"/>
            <w:u w:val="single"/>
          </w:rPr>
          <w:t>Section 2(31) of the Companies Act, 2013</w:t>
        </w:r>
      </w:hyperlink>
      <w:r>
        <w:rPr>
          <w:rFonts w:ascii="Times New Roman" w:eastAsia="Times New Roman" w:hAnsi="Times New Roman" w:cs="Times New Roman"/>
          <w:color w:val="1155CC"/>
        </w:rPr>
        <w:t xml:space="preserve"> </w:t>
      </w:r>
      <w:r>
        <w:rPr>
          <w:rFonts w:ascii="Times New Roman" w:eastAsia="Times New Roman" w:hAnsi="Times New Roman" w:cs="Times New Roman"/>
        </w:rPr>
        <w:t xml:space="preserve">which came into force from 1st April 2014 could not be applied retrospectively as the Share Purchase Agreement (SPA) was entered into by  the parties in 2010. Thus, the Act of 1956 and the Rules of 1975 were applicable here. </w:t>
      </w:r>
    </w:p>
    <w:p w14:paraId="0000005E" w14:textId="77777777" w:rsidR="003702A7" w:rsidRDefault="003702A7">
      <w:pPr>
        <w:jc w:val="both"/>
        <w:rPr>
          <w:rFonts w:ascii="Times New Roman" w:eastAsia="Times New Roman" w:hAnsi="Times New Roman" w:cs="Times New Roman"/>
        </w:rPr>
      </w:pPr>
    </w:p>
    <w:p w14:paraId="0000005F" w14:textId="77777777" w:rsidR="003702A7" w:rsidRDefault="00000000">
      <w:pPr>
        <w:jc w:val="both"/>
        <w:rPr>
          <w:rFonts w:ascii="Times New Roman" w:eastAsia="Times New Roman" w:hAnsi="Times New Roman" w:cs="Times New Roman"/>
          <w:b/>
          <w:u w:val="single"/>
        </w:rPr>
      </w:pPr>
      <w:r>
        <w:rPr>
          <w:rFonts w:ascii="Times New Roman" w:eastAsia="Times New Roman" w:hAnsi="Times New Roman" w:cs="Times New Roman"/>
          <w:b/>
          <w:u w:val="single"/>
        </w:rPr>
        <w:t>Analysis</w:t>
      </w:r>
    </w:p>
    <w:p w14:paraId="00000060" w14:textId="77777777" w:rsidR="003702A7" w:rsidRDefault="00000000">
      <w:pPr>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 </w:t>
      </w:r>
    </w:p>
    <w:p w14:paraId="00000061"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aforementioned 2014</w:t>
      </w:r>
      <w:proofErr w:type="gramEnd"/>
      <w:r>
        <w:rPr>
          <w:rFonts w:ascii="Times New Roman" w:eastAsia="Times New Roman" w:hAnsi="Times New Roman" w:cs="Times New Roman"/>
        </w:rPr>
        <w:t xml:space="preserve"> Rules cannot be applied to the sum in question. Additionally, it was observed that the share application money provided by the Petitioner for the allotment of shares cannot be classified as "deposits" in accordance with Rule 2(b)(vii) of the Companies (Acceptance of Deposits) Rules, 1975 read in conjunction with</w:t>
      </w:r>
      <w:hyperlink r:id="rId36">
        <w:r>
          <w:rPr>
            <w:rFonts w:ascii="Times New Roman" w:eastAsia="Times New Roman" w:hAnsi="Times New Roman" w:cs="Times New Roman"/>
            <w:u w:val="single"/>
          </w:rPr>
          <w:t xml:space="preserve"> </w:t>
        </w:r>
      </w:hyperlink>
      <w:hyperlink r:id="rId37">
        <w:r>
          <w:rPr>
            <w:rFonts w:ascii="Times New Roman" w:eastAsia="Times New Roman" w:hAnsi="Times New Roman" w:cs="Times New Roman"/>
            <w:color w:val="1155CC"/>
            <w:u w:val="single"/>
          </w:rPr>
          <w:t xml:space="preserve">General Circular No. 15/2015. </w:t>
        </w:r>
      </w:hyperlink>
      <w:r>
        <w:rPr>
          <w:rFonts w:ascii="Times New Roman" w:eastAsia="Times New Roman" w:hAnsi="Times New Roman" w:cs="Times New Roman"/>
        </w:rPr>
        <w:br/>
      </w:r>
    </w:p>
    <w:p w14:paraId="00000062" w14:textId="77777777" w:rsidR="003702A7" w:rsidRDefault="00000000">
      <w:pPr>
        <w:numPr>
          <w:ilvl w:val="0"/>
          <w:numId w:val="5"/>
        </w:numPr>
        <w:jc w:val="both"/>
        <w:rPr>
          <w:rFonts w:ascii="Times New Roman" w:eastAsia="Times New Roman" w:hAnsi="Times New Roman" w:cs="Times New Roman"/>
          <w:b/>
        </w:rPr>
      </w:pPr>
      <w:hyperlink r:id="rId38">
        <w:r>
          <w:rPr>
            <w:rFonts w:ascii="Times New Roman" w:eastAsia="Times New Roman" w:hAnsi="Times New Roman" w:cs="Times New Roman"/>
            <w:b/>
            <w:color w:val="3C78D8"/>
            <w:u w:val="single"/>
          </w:rPr>
          <w:t>A Single Judge Bench is established by the Karnataka High Court to hear appeals of International Commercial Arbitral awards</w:t>
        </w:r>
      </w:hyperlink>
    </w:p>
    <w:p w14:paraId="00000063" w14:textId="77777777" w:rsidR="003702A7" w:rsidRDefault="003702A7">
      <w:pPr>
        <w:jc w:val="both"/>
        <w:rPr>
          <w:rFonts w:ascii="Times New Roman" w:eastAsia="Times New Roman" w:hAnsi="Times New Roman" w:cs="Times New Roman"/>
          <w:b/>
          <w:u w:val="single"/>
        </w:rPr>
      </w:pPr>
    </w:p>
    <w:p w14:paraId="00000064"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In the case of </w:t>
      </w:r>
      <w:hyperlink r:id="rId39">
        <w:r>
          <w:rPr>
            <w:rFonts w:ascii="Times New Roman" w:eastAsia="Times New Roman" w:hAnsi="Times New Roman" w:cs="Times New Roman"/>
            <w:color w:val="3C78D8"/>
            <w:highlight w:val="white"/>
            <w:u w:val="single"/>
          </w:rPr>
          <w:t xml:space="preserve">ITI Limited v. </w:t>
        </w:r>
        <w:proofErr w:type="spellStart"/>
        <w:r>
          <w:rPr>
            <w:rFonts w:ascii="Times New Roman" w:eastAsia="Times New Roman" w:hAnsi="Times New Roman" w:cs="Times New Roman"/>
            <w:color w:val="3C78D8"/>
            <w:highlight w:val="white"/>
            <w:u w:val="single"/>
          </w:rPr>
          <w:t>Alphion</w:t>
        </w:r>
        <w:proofErr w:type="spellEnd"/>
        <w:r>
          <w:rPr>
            <w:rFonts w:ascii="Times New Roman" w:eastAsia="Times New Roman" w:hAnsi="Times New Roman" w:cs="Times New Roman"/>
            <w:color w:val="3C78D8"/>
            <w:highlight w:val="white"/>
            <w:u w:val="single"/>
          </w:rPr>
          <w:t xml:space="preserve"> Corporation &amp; </w:t>
        </w:r>
        <w:proofErr w:type="spellStart"/>
        <w:r>
          <w:rPr>
            <w:rFonts w:ascii="Times New Roman" w:eastAsia="Times New Roman" w:hAnsi="Times New Roman" w:cs="Times New Roman"/>
            <w:color w:val="3C78D8"/>
            <w:highlight w:val="white"/>
            <w:u w:val="single"/>
          </w:rPr>
          <w:t>Anr</w:t>
        </w:r>
        <w:proofErr w:type="spellEnd"/>
      </w:hyperlink>
      <w:r>
        <w:rPr>
          <w:rFonts w:ascii="Times New Roman" w:eastAsia="Times New Roman" w:hAnsi="Times New Roman" w:cs="Times New Roman"/>
          <w:highlight w:val="white"/>
          <w:vertAlign w:val="superscript"/>
        </w:rPr>
        <w:footnoteReference w:id="5"/>
      </w:r>
      <w:r>
        <w:rPr>
          <w:rFonts w:ascii="Times New Roman" w:eastAsia="Times New Roman" w:hAnsi="Times New Roman" w:cs="Times New Roman"/>
          <w:highlight w:val="white"/>
        </w:rPr>
        <w:t xml:space="preserve">, </w:t>
      </w:r>
      <w:r>
        <w:rPr>
          <w:rFonts w:ascii="Times New Roman" w:eastAsia="Times New Roman" w:hAnsi="Times New Roman" w:cs="Times New Roman"/>
        </w:rPr>
        <w:t>the Karnataka High Court has held that a Commercial Division must be constituted even with regard to a High Court that does not exercise an Ordinary Original Civil Jurisdiction in order to examine applications and appeals resulting from an International Commercial Arbitration.</w:t>
      </w:r>
    </w:p>
    <w:p w14:paraId="00000065" w14:textId="77777777" w:rsidR="003702A7" w:rsidRDefault="003702A7">
      <w:pPr>
        <w:jc w:val="both"/>
        <w:rPr>
          <w:rFonts w:ascii="Times New Roman" w:eastAsia="Times New Roman" w:hAnsi="Times New Roman" w:cs="Times New Roman"/>
        </w:rPr>
      </w:pPr>
    </w:p>
    <w:p w14:paraId="00000066" w14:textId="77777777" w:rsidR="003702A7" w:rsidRDefault="00000000">
      <w:pPr>
        <w:jc w:val="both"/>
        <w:rPr>
          <w:rFonts w:ascii="Times New Roman" w:eastAsia="Times New Roman" w:hAnsi="Times New Roman" w:cs="Times New Roman"/>
          <w:u w:val="single"/>
        </w:rPr>
      </w:pPr>
      <w:r>
        <w:rPr>
          <w:rFonts w:ascii="Times New Roman" w:eastAsia="Times New Roman" w:hAnsi="Times New Roman" w:cs="Times New Roman"/>
          <w:b/>
          <w:u w:val="single"/>
        </w:rPr>
        <w:t>Brief Facts</w:t>
      </w:r>
      <w:r>
        <w:rPr>
          <w:rFonts w:ascii="Times New Roman" w:eastAsia="Times New Roman" w:hAnsi="Times New Roman" w:cs="Times New Roman"/>
          <w:u w:val="single"/>
        </w:rPr>
        <w:t xml:space="preserve"> </w:t>
      </w:r>
    </w:p>
    <w:p w14:paraId="00000067" w14:textId="77777777" w:rsidR="003702A7" w:rsidRDefault="003702A7">
      <w:pPr>
        <w:jc w:val="both"/>
        <w:rPr>
          <w:rFonts w:ascii="Times New Roman" w:eastAsia="Times New Roman" w:hAnsi="Times New Roman" w:cs="Times New Roman"/>
          <w:u w:val="single"/>
        </w:rPr>
      </w:pPr>
    </w:p>
    <w:p w14:paraId="00000068" w14:textId="07464722"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ITI Ltd. and </w:t>
      </w:r>
      <w:proofErr w:type="spellStart"/>
      <w:r>
        <w:rPr>
          <w:rFonts w:ascii="Times New Roman" w:eastAsia="Times New Roman" w:hAnsi="Times New Roman" w:cs="Times New Roman"/>
        </w:rPr>
        <w:t>Alphion</w:t>
      </w:r>
      <w:proofErr w:type="spellEnd"/>
      <w:r>
        <w:rPr>
          <w:rFonts w:ascii="Times New Roman" w:eastAsia="Times New Roman" w:hAnsi="Times New Roman" w:cs="Times New Roman"/>
        </w:rPr>
        <w:t xml:space="preserve"> Corporation had conflicts over a Technology Collaboration Agreement</w:t>
      </w:r>
      <w:r w:rsidR="001A65BE">
        <w:rPr>
          <w:rFonts w:ascii="Times New Roman" w:eastAsia="Times New Roman" w:hAnsi="Times New Roman" w:cs="Times New Roman"/>
        </w:rPr>
        <w:t xml:space="preserve"> </w:t>
      </w:r>
      <w:r>
        <w:rPr>
          <w:rFonts w:ascii="Times New Roman" w:eastAsia="Times New Roman" w:hAnsi="Times New Roman" w:cs="Times New Roman"/>
        </w:rPr>
        <w:t xml:space="preserve">(TCA). An Arbitration was requested to resolve the conflict. The award was in </w:t>
      </w:r>
      <w:proofErr w:type="spellStart"/>
      <w:r>
        <w:rPr>
          <w:rFonts w:ascii="Times New Roman" w:eastAsia="Times New Roman" w:hAnsi="Times New Roman" w:cs="Times New Roman"/>
        </w:rPr>
        <w:t>Alphion's</w:t>
      </w:r>
      <w:proofErr w:type="spellEnd"/>
      <w:r>
        <w:rPr>
          <w:rFonts w:ascii="Times New Roman" w:eastAsia="Times New Roman" w:hAnsi="Times New Roman" w:cs="Times New Roman"/>
        </w:rPr>
        <w:t xml:space="preserve"> favour and ITI appealed the </w:t>
      </w:r>
      <w:r>
        <w:rPr>
          <w:rFonts w:ascii="Times New Roman" w:eastAsia="Times New Roman" w:hAnsi="Times New Roman" w:cs="Times New Roman"/>
        </w:rPr>
        <w:lastRenderedPageBreak/>
        <w:t xml:space="preserve">decision under </w:t>
      </w:r>
      <w:hyperlink r:id="rId40">
        <w:r>
          <w:rPr>
            <w:rFonts w:ascii="Times New Roman" w:eastAsia="Times New Roman" w:hAnsi="Times New Roman" w:cs="Times New Roman"/>
            <w:color w:val="1155CC"/>
            <w:u w:val="single"/>
          </w:rPr>
          <w:t xml:space="preserve">Section 34 of the </w:t>
        </w:r>
      </w:hyperlink>
      <w:hyperlink r:id="rId41">
        <w:r>
          <w:rPr>
            <w:rFonts w:ascii="Times New Roman" w:eastAsia="Times New Roman" w:hAnsi="Times New Roman" w:cs="Times New Roman"/>
            <w:highlight w:val="white"/>
            <w:u w:val="single"/>
          </w:rPr>
          <w:t xml:space="preserve">Arbitration </w:t>
        </w:r>
      </w:hyperlink>
      <w:hyperlink r:id="rId42">
        <w:r>
          <w:rPr>
            <w:rFonts w:ascii="Times New Roman" w:eastAsia="Times New Roman" w:hAnsi="Times New Roman" w:cs="Times New Roman"/>
            <w:u w:val="single"/>
          </w:rPr>
          <w:t>and</w:t>
        </w:r>
      </w:hyperlink>
      <w:hyperlink r:id="rId43">
        <w:r>
          <w:rPr>
            <w:rFonts w:ascii="Times New Roman" w:eastAsia="Times New Roman" w:hAnsi="Times New Roman" w:cs="Times New Roman"/>
            <w:highlight w:val="white"/>
            <w:u w:val="single"/>
          </w:rPr>
          <w:t xml:space="preserve"> Conciliation Act</w:t>
        </w:r>
      </w:hyperlink>
      <w:hyperlink r:id="rId44">
        <w:r>
          <w:rPr>
            <w:rFonts w:ascii="Times New Roman" w:eastAsia="Times New Roman" w:hAnsi="Times New Roman" w:cs="Times New Roman"/>
            <w:color w:val="1155CC"/>
            <w:u w:val="single"/>
          </w:rPr>
          <w:t>, 1996</w:t>
        </w:r>
      </w:hyperlink>
      <w:r>
        <w:rPr>
          <w:rFonts w:ascii="Times New Roman" w:eastAsia="Times New Roman" w:hAnsi="Times New Roman" w:cs="Times New Roman"/>
        </w:rPr>
        <w:t xml:space="preserve"> to the Commercial Appellate Division of the Karnataka High Court. </w:t>
      </w:r>
    </w:p>
    <w:p w14:paraId="00000069" w14:textId="77777777" w:rsidR="003702A7" w:rsidRDefault="003702A7">
      <w:pPr>
        <w:jc w:val="both"/>
        <w:rPr>
          <w:rFonts w:ascii="Times New Roman" w:eastAsia="Times New Roman" w:hAnsi="Times New Roman" w:cs="Times New Roman"/>
        </w:rPr>
      </w:pPr>
    </w:p>
    <w:p w14:paraId="0000006A" w14:textId="77777777" w:rsidR="003702A7" w:rsidRDefault="00000000">
      <w:pPr>
        <w:jc w:val="both"/>
        <w:rPr>
          <w:rFonts w:ascii="Times New Roman" w:eastAsia="Times New Roman" w:hAnsi="Times New Roman" w:cs="Times New Roman"/>
          <w:b/>
          <w:u w:val="single"/>
        </w:rPr>
      </w:pPr>
      <w:r>
        <w:rPr>
          <w:rFonts w:ascii="Times New Roman" w:eastAsia="Times New Roman" w:hAnsi="Times New Roman" w:cs="Times New Roman"/>
          <w:b/>
          <w:u w:val="single"/>
        </w:rPr>
        <w:t>Contention of Appellant</w:t>
      </w:r>
    </w:p>
    <w:p w14:paraId="0000006B" w14:textId="77777777" w:rsidR="003702A7" w:rsidRDefault="003702A7">
      <w:pPr>
        <w:jc w:val="both"/>
        <w:rPr>
          <w:rFonts w:ascii="Times New Roman" w:eastAsia="Times New Roman" w:hAnsi="Times New Roman" w:cs="Times New Roman"/>
          <w:b/>
          <w:u w:val="single"/>
        </w:rPr>
      </w:pPr>
    </w:p>
    <w:p w14:paraId="0000006C" w14:textId="77777777" w:rsidR="003702A7" w:rsidRDefault="00000000">
      <w:pPr>
        <w:jc w:val="both"/>
        <w:rPr>
          <w:rFonts w:ascii="Times New Roman" w:eastAsia="Times New Roman" w:hAnsi="Times New Roman" w:cs="Times New Roman"/>
          <w:color w:val="1155CC"/>
          <w:u w:val="single"/>
        </w:rPr>
      </w:pPr>
      <w:r>
        <w:rPr>
          <w:rFonts w:ascii="Times New Roman" w:eastAsia="Times New Roman" w:hAnsi="Times New Roman" w:cs="Times New Roman"/>
        </w:rPr>
        <w:t xml:space="preserve">The Chief Justice of the High Court may establish Commercial Division for this purpose in all High Courts with Ordinary Original Civil Jurisdiction, according to Sr. Adv C.K. </w:t>
      </w:r>
      <w:proofErr w:type="gramStart"/>
      <w:r>
        <w:rPr>
          <w:rFonts w:ascii="Times New Roman" w:eastAsia="Times New Roman" w:hAnsi="Times New Roman" w:cs="Times New Roman"/>
        </w:rPr>
        <w:t>Nandakumar,  appearing</w:t>
      </w:r>
      <w:proofErr w:type="gramEnd"/>
      <w:r>
        <w:rPr>
          <w:rFonts w:ascii="Times New Roman" w:eastAsia="Times New Roman" w:hAnsi="Times New Roman" w:cs="Times New Roman"/>
        </w:rPr>
        <w:t xml:space="preserve"> on behalf of ITI Ltd. The Chief Justice of the High Court, he said, has the authority to create a Commercial Appellate Division with Division Benches in accordance with</w:t>
      </w:r>
      <w:r>
        <w:rPr>
          <w:rFonts w:ascii="Times New Roman" w:eastAsia="Times New Roman" w:hAnsi="Times New Roman" w:cs="Times New Roman"/>
          <w:color w:val="1155CC"/>
          <w:u w:val="single"/>
        </w:rPr>
        <w:t xml:space="preserve"> </w:t>
      </w:r>
      <w:hyperlink r:id="rId45">
        <w:r>
          <w:rPr>
            <w:rFonts w:ascii="Times New Roman" w:eastAsia="Times New Roman" w:hAnsi="Times New Roman" w:cs="Times New Roman"/>
            <w:color w:val="1155CC"/>
            <w:u w:val="single"/>
          </w:rPr>
          <w:t>Section 5 of Commercial Courts Act, 2015.</w:t>
        </w:r>
      </w:hyperlink>
    </w:p>
    <w:p w14:paraId="0000006D" w14:textId="77777777" w:rsidR="003702A7" w:rsidRDefault="003702A7">
      <w:pPr>
        <w:ind w:left="720"/>
        <w:jc w:val="both"/>
        <w:rPr>
          <w:rFonts w:ascii="Times New Roman" w:eastAsia="Times New Roman" w:hAnsi="Times New Roman" w:cs="Times New Roman"/>
        </w:rPr>
      </w:pPr>
    </w:p>
    <w:p w14:paraId="0000006E" w14:textId="77777777" w:rsidR="003702A7" w:rsidRDefault="00000000">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He argues that the complexity arises because</w:t>
      </w:r>
      <w:hyperlink r:id="rId46">
        <w:r>
          <w:rPr>
            <w:rFonts w:ascii="Times New Roman" w:eastAsia="Times New Roman" w:hAnsi="Times New Roman" w:cs="Times New Roman"/>
            <w:color w:val="1155CC"/>
            <w:highlight w:val="white"/>
            <w:u w:val="single"/>
          </w:rPr>
          <w:t xml:space="preserve"> Section 10 of the Commercial Courts Act, 2015</w:t>
        </w:r>
      </w:hyperlink>
      <w:r>
        <w:rPr>
          <w:rFonts w:ascii="Times New Roman" w:eastAsia="Times New Roman" w:hAnsi="Times New Roman" w:cs="Times New Roman"/>
          <w:highlight w:val="white"/>
        </w:rPr>
        <w:t xml:space="preserve"> does not provide for a case where a Commercial Division is not established in the High Court. </w:t>
      </w:r>
    </w:p>
    <w:p w14:paraId="0000006F" w14:textId="77777777" w:rsidR="003702A7" w:rsidRDefault="003702A7">
      <w:pPr>
        <w:ind w:left="720"/>
        <w:jc w:val="both"/>
        <w:rPr>
          <w:rFonts w:ascii="Times New Roman" w:eastAsia="Times New Roman" w:hAnsi="Times New Roman" w:cs="Times New Roman"/>
          <w:highlight w:val="white"/>
        </w:rPr>
      </w:pPr>
    </w:p>
    <w:p w14:paraId="00000070"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highlight w:val="white"/>
        </w:rPr>
        <w:t xml:space="preserve">He further </w:t>
      </w:r>
      <w:r>
        <w:rPr>
          <w:rFonts w:ascii="Times New Roman" w:eastAsia="Times New Roman" w:hAnsi="Times New Roman" w:cs="Times New Roman"/>
        </w:rPr>
        <w:t>argued</w:t>
      </w:r>
      <w:r>
        <w:rPr>
          <w:rFonts w:ascii="Times New Roman" w:eastAsia="Times New Roman" w:hAnsi="Times New Roman" w:cs="Times New Roman"/>
          <w:highlight w:val="white"/>
        </w:rPr>
        <w:t xml:space="preserve"> that </w:t>
      </w:r>
      <w:hyperlink r:id="rId47">
        <w:r>
          <w:rPr>
            <w:rFonts w:ascii="Times New Roman" w:eastAsia="Times New Roman" w:hAnsi="Times New Roman" w:cs="Times New Roman"/>
            <w:color w:val="1155CC"/>
            <w:highlight w:val="white"/>
            <w:u w:val="single"/>
          </w:rPr>
          <w:t xml:space="preserve">Section 37 of the Arbitration </w:t>
        </w:r>
      </w:hyperlink>
      <w:hyperlink r:id="rId48">
        <w:r>
          <w:rPr>
            <w:rFonts w:ascii="Times New Roman" w:eastAsia="Times New Roman" w:hAnsi="Times New Roman" w:cs="Times New Roman"/>
            <w:color w:val="1155CC"/>
            <w:u w:val="single"/>
          </w:rPr>
          <w:t>and</w:t>
        </w:r>
      </w:hyperlink>
      <w:hyperlink r:id="rId49">
        <w:r>
          <w:rPr>
            <w:rFonts w:ascii="Times New Roman" w:eastAsia="Times New Roman" w:hAnsi="Times New Roman" w:cs="Times New Roman"/>
            <w:color w:val="1155CC"/>
            <w:highlight w:val="white"/>
            <w:u w:val="single"/>
          </w:rPr>
          <w:t xml:space="preserve"> Conciliation Act,1996</w:t>
        </w:r>
      </w:hyperlink>
      <w:r>
        <w:rPr>
          <w:rFonts w:ascii="Times New Roman" w:eastAsia="Times New Roman" w:hAnsi="Times New Roman" w:cs="Times New Roman"/>
        </w:rPr>
        <w:t xml:space="preserve"> begins</w:t>
      </w:r>
      <w:r>
        <w:rPr>
          <w:rFonts w:ascii="Times New Roman" w:eastAsia="Times New Roman" w:hAnsi="Times New Roman" w:cs="Times New Roman"/>
          <w:highlight w:val="white"/>
        </w:rPr>
        <w:t xml:space="preserve"> with a </w:t>
      </w:r>
      <w:r>
        <w:rPr>
          <w:rFonts w:ascii="Times New Roman" w:eastAsia="Times New Roman" w:hAnsi="Times New Roman" w:cs="Times New Roman"/>
        </w:rPr>
        <w:t>non-abstaining provision, "Notwithstanding</w:t>
      </w:r>
      <w:r>
        <w:rPr>
          <w:rFonts w:ascii="Times New Roman" w:eastAsia="Times New Roman" w:hAnsi="Times New Roman" w:cs="Times New Roman"/>
          <w:highlight w:val="white"/>
        </w:rPr>
        <w:t xml:space="preserve"> anything contained in any other law for the time </w:t>
      </w:r>
      <w:r>
        <w:rPr>
          <w:rFonts w:ascii="Times New Roman" w:eastAsia="Times New Roman" w:hAnsi="Times New Roman" w:cs="Times New Roman"/>
        </w:rPr>
        <w:t>being", thus providing</w:t>
      </w:r>
      <w:r>
        <w:rPr>
          <w:rFonts w:ascii="Times New Roman" w:eastAsia="Times New Roman" w:hAnsi="Times New Roman" w:cs="Times New Roman"/>
          <w:highlight w:val="white"/>
        </w:rPr>
        <w:t xml:space="preserve"> that an appeal </w:t>
      </w:r>
      <w:r>
        <w:rPr>
          <w:rFonts w:ascii="Times New Roman" w:eastAsia="Times New Roman" w:hAnsi="Times New Roman" w:cs="Times New Roman"/>
        </w:rPr>
        <w:t>"shall" be against</w:t>
      </w:r>
      <w:r>
        <w:rPr>
          <w:rFonts w:ascii="Times New Roman" w:eastAsia="Times New Roman" w:hAnsi="Times New Roman" w:cs="Times New Roman"/>
          <w:highlight w:val="white"/>
        </w:rPr>
        <w:t xml:space="preserve"> an order </w:t>
      </w:r>
      <w:r>
        <w:rPr>
          <w:rFonts w:ascii="Times New Roman" w:eastAsia="Times New Roman" w:hAnsi="Times New Roman" w:cs="Times New Roman"/>
        </w:rPr>
        <w:t>set</w:t>
      </w:r>
      <w:r>
        <w:rPr>
          <w:rFonts w:ascii="Times New Roman" w:eastAsia="Times New Roman" w:hAnsi="Times New Roman" w:cs="Times New Roman"/>
          <w:highlight w:val="white"/>
        </w:rPr>
        <w:t xml:space="preserve"> aside or </w:t>
      </w:r>
      <w:r>
        <w:rPr>
          <w:rFonts w:ascii="Times New Roman" w:eastAsia="Times New Roman" w:hAnsi="Times New Roman" w:cs="Times New Roman"/>
        </w:rPr>
        <w:t>a refusal</w:t>
      </w:r>
      <w:r>
        <w:rPr>
          <w:rFonts w:ascii="Times New Roman" w:eastAsia="Times New Roman" w:hAnsi="Times New Roman" w:cs="Times New Roman"/>
          <w:highlight w:val="white"/>
        </w:rPr>
        <w:t xml:space="preserve"> to set aside an </w:t>
      </w:r>
      <w:r>
        <w:rPr>
          <w:rFonts w:ascii="Times New Roman" w:eastAsia="Times New Roman" w:hAnsi="Times New Roman" w:cs="Times New Roman"/>
        </w:rPr>
        <w:t>arbitration</w:t>
      </w:r>
      <w:r>
        <w:rPr>
          <w:rFonts w:ascii="Times New Roman" w:eastAsia="Times New Roman" w:hAnsi="Times New Roman" w:cs="Times New Roman"/>
          <w:highlight w:val="white"/>
        </w:rPr>
        <w:t xml:space="preserve"> award under </w:t>
      </w:r>
      <w:hyperlink r:id="rId50">
        <w:r>
          <w:rPr>
            <w:rFonts w:ascii="Times New Roman" w:eastAsia="Times New Roman" w:hAnsi="Times New Roman" w:cs="Times New Roman"/>
            <w:color w:val="1155CC"/>
            <w:highlight w:val="white"/>
            <w:u w:val="single"/>
          </w:rPr>
          <w:t>Section 34</w:t>
        </w:r>
      </w:hyperlink>
      <w:r>
        <w:rPr>
          <w:rFonts w:ascii="Times New Roman" w:eastAsia="Times New Roman" w:hAnsi="Times New Roman" w:cs="Times New Roman"/>
          <w:highlight w:val="white"/>
        </w:rPr>
        <w:t xml:space="preserve"> to </w:t>
      </w:r>
      <w:r>
        <w:rPr>
          <w:rFonts w:ascii="Times New Roman" w:eastAsia="Times New Roman" w:hAnsi="Times New Roman" w:cs="Times New Roman"/>
        </w:rPr>
        <w:t>a</w:t>
      </w:r>
      <w:r>
        <w:rPr>
          <w:rFonts w:ascii="Times New Roman" w:eastAsia="Times New Roman" w:hAnsi="Times New Roman" w:cs="Times New Roman"/>
          <w:highlight w:val="white"/>
        </w:rPr>
        <w:t xml:space="preserve"> Court </w:t>
      </w:r>
      <w:r>
        <w:rPr>
          <w:rFonts w:ascii="Times New Roman" w:eastAsia="Times New Roman" w:hAnsi="Times New Roman" w:cs="Times New Roman"/>
        </w:rPr>
        <w:t>authorized</w:t>
      </w:r>
      <w:r>
        <w:rPr>
          <w:rFonts w:ascii="Times New Roman" w:eastAsia="Times New Roman" w:hAnsi="Times New Roman" w:cs="Times New Roman"/>
          <w:highlight w:val="white"/>
        </w:rPr>
        <w:t xml:space="preserve"> by law to hear appeals from </w:t>
      </w:r>
      <w:r>
        <w:rPr>
          <w:rFonts w:ascii="Times New Roman" w:eastAsia="Times New Roman" w:hAnsi="Times New Roman" w:cs="Times New Roman"/>
        </w:rPr>
        <w:t>the Court's</w:t>
      </w:r>
      <w:r>
        <w:rPr>
          <w:rFonts w:ascii="Times New Roman" w:eastAsia="Times New Roman" w:hAnsi="Times New Roman" w:cs="Times New Roman"/>
          <w:highlight w:val="white"/>
        </w:rPr>
        <w:t xml:space="preserve"> original </w:t>
      </w:r>
      <w:r>
        <w:rPr>
          <w:rFonts w:ascii="Times New Roman" w:eastAsia="Times New Roman" w:hAnsi="Times New Roman" w:cs="Times New Roman"/>
        </w:rPr>
        <w:t>orders Issue Order.</w:t>
      </w:r>
    </w:p>
    <w:p w14:paraId="00000071" w14:textId="77777777" w:rsidR="003702A7" w:rsidRDefault="003702A7">
      <w:pPr>
        <w:jc w:val="both"/>
        <w:rPr>
          <w:rFonts w:ascii="Times New Roman" w:eastAsia="Times New Roman" w:hAnsi="Times New Roman" w:cs="Times New Roman"/>
          <w:u w:val="single"/>
        </w:rPr>
      </w:pPr>
    </w:p>
    <w:p w14:paraId="00000072" w14:textId="77777777" w:rsidR="003702A7" w:rsidRDefault="00000000">
      <w:pPr>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Judgment </w:t>
      </w:r>
    </w:p>
    <w:p w14:paraId="00000073" w14:textId="77777777" w:rsidR="003702A7" w:rsidRDefault="003702A7">
      <w:pPr>
        <w:jc w:val="both"/>
        <w:rPr>
          <w:rFonts w:ascii="Times New Roman" w:eastAsia="Times New Roman" w:hAnsi="Times New Roman" w:cs="Times New Roman"/>
          <w:b/>
          <w:u w:val="single"/>
        </w:rPr>
      </w:pPr>
    </w:p>
    <w:p w14:paraId="00000074" w14:textId="77777777" w:rsidR="003702A7" w:rsidRDefault="00000000">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The Court, after hearing arguments, ordered that a challenge to an award made in an International Commercial Arbitration could be brought before the High Court of Karnataka under </w:t>
      </w:r>
      <w:hyperlink r:id="rId51">
        <w:r>
          <w:rPr>
            <w:rFonts w:ascii="Times New Roman" w:eastAsia="Times New Roman" w:hAnsi="Times New Roman" w:cs="Times New Roman"/>
            <w:highlight w:val="white"/>
            <w:u w:val="single"/>
          </w:rPr>
          <w:t xml:space="preserve">Section 2(e)(ii) of the Arbitration and Conciliation Act,1996. </w:t>
        </w:r>
      </w:hyperlink>
      <w:r>
        <w:rPr>
          <w:rFonts w:ascii="Times New Roman" w:eastAsia="Times New Roman" w:hAnsi="Times New Roman" w:cs="Times New Roman"/>
          <w:highlight w:val="white"/>
        </w:rPr>
        <w:t>He further noted that under</w:t>
      </w:r>
      <w:hyperlink r:id="rId52">
        <w:r>
          <w:rPr>
            <w:rFonts w:ascii="Times New Roman" w:eastAsia="Times New Roman" w:hAnsi="Times New Roman" w:cs="Times New Roman"/>
            <w:highlight w:val="white"/>
            <w:u w:val="single"/>
          </w:rPr>
          <w:t xml:space="preserve"> Section 10(1) of the Commercial Courts Act</w:t>
        </w:r>
      </w:hyperlink>
      <w:r>
        <w:rPr>
          <w:rFonts w:ascii="Times New Roman" w:eastAsia="Times New Roman" w:hAnsi="Times New Roman" w:cs="Times New Roman"/>
          <w:highlight w:val="white"/>
        </w:rPr>
        <w:t>, a challenge to the award have to be considered by a Commercial Division established in the High Court consisting of a Single Judge, thereby the court directed the registry place the order before the Chief Justice in the administrative side to pass orders in this regard.</w:t>
      </w:r>
    </w:p>
    <w:p w14:paraId="00000075" w14:textId="77777777" w:rsidR="003702A7" w:rsidRDefault="003702A7">
      <w:pPr>
        <w:jc w:val="both"/>
        <w:rPr>
          <w:rFonts w:ascii="Times New Roman" w:eastAsia="Times New Roman" w:hAnsi="Times New Roman" w:cs="Times New Roman"/>
          <w:highlight w:val="white"/>
        </w:rPr>
      </w:pPr>
    </w:p>
    <w:p w14:paraId="00000076" w14:textId="77777777" w:rsidR="003702A7" w:rsidRDefault="003702A7">
      <w:pPr>
        <w:jc w:val="both"/>
        <w:rPr>
          <w:rFonts w:ascii="Times New Roman" w:eastAsia="Times New Roman" w:hAnsi="Times New Roman" w:cs="Times New Roman"/>
          <w:highlight w:val="white"/>
        </w:rPr>
      </w:pPr>
    </w:p>
    <w:p w14:paraId="00000077" w14:textId="77777777" w:rsidR="003702A7" w:rsidRDefault="00000000">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In response, the Chief Justice issued a circular establishing a single-judge bench to hear appeals of verdicts in International Commercial Arbitration.</w:t>
      </w:r>
    </w:p>
    <w:p w14:paraId="00000078" w14:textId="77777777" w:rsidR="003702A7" w:rsidRDefault="003702A7">
      <w:pPr>
        <w:jc w:val="both"/>
        <w:rPr>
          <w:rFonts w:ascii="Times New Roman" w:eastAsia="Times New Roman" w:hAnsi="Times New Roman" w:cs="Times New Roman"/>
          <w:highlight w:val="white"/>
          <w:u w:val="single"/>
        </w:rPr>
      </w:pPr>
    </w:p>
    <w:p w14:paraId="00000079" w14:textId="77777777" w:rsidR="003702A7" w:rsidRDefault="00000000">
      <w:pPr>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 xml:space="preserve">Analysis </w:t>
      </w:r>
    </w:p>
    <w:p w14:paraId="0000007A" w14:textId="77777777" w:rsidR="003702A7" w:rsidRDefault="003702A7">
      <w:pPr>
        <w:jc w:val="both"/>
        <w:rPr>
          <w:rFonts w:ascii="Times New Roman" w:eastAsia="Times New Roman" w:hAnsi="Times New Roman" w:cs="Times New Roman"/>
          <w:highlight w:val="white"/>
          <w:u w:val="single"/>
        </w:rPr>
      </w:pPr>
    </w:p>
    <w:p w14:paraId="0000007B" w14:textId="77777777" w:rsidR="003702A7" w:rsidRDefault="00000000">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Although it might not have ordinary original jurisdiction, a challenge to an International Commercial award will be heard by a Single Judge of the Commercial Division of a High Court.</w:t>
      </w:r>
    </w:p>
    <w:p w14:paraId="0000007C" w14:textId="77777777" w:rsidR="003702A7" w:rsidRDefault="003702A7">
      <w:pPr>
        <w:jc w:val="both"/>
        <w:rPr>
          <w:rFonts w:ascii="Times New Roman" w:eastAsia="Times New Roman" w:hAnsi="Times New Roman" w:cs="Times New Roman"/>
        </w:rPr>
      </w:pPr>
    </w:p>
    <w:p w14:paraId="0000007D" w14:textId="77777777" w:rsidR="003702A7" w:rsidRDefault="003702A7">
      <w:pPr>
        <w:jc w:val="both"/>
        <w:rPr>
          <w:rFonts w:ascii="Times New Roman" w:eastAsia="Times New Roman" w:hAnsi="Times New Roman" w:cs="Times New Roman"/>
        </w:rPr>
      </w:pPr>
    </w:p>
    <w:p w14:paraId="0000007E" w14:textId="77777777" w:rsidR="003702A7" w:rsidRDefault="00000000">
      <w:pPr>
        <w:jc w:val="both"/>
        <w:rPr>
          <w:rFonts w:ascii="Times New Roman" w:eastAsia="Times New Roman" w:hAnsi="Times New Roman" w:cs="Times New Roman"/>
          <w:b/>
          <w:color w:val="1155CC"/>
          <w:u w:val="single"/>
        </w:rPr>
      </w:pPr>
      <w:r>
        <w:rPr>
          <w:rFonts w:ascii="Times New Roman" w:eastAsia="Times New Roman" w:hAnsi="Times New Roman" w:cs="Times New Roman"/>
        </w:rPr>
        <w:t xml:space="preserve">3. </w:t>
      </w:r>
      <w:hyperlink r:id="rId53">
        <w:r>
          <w:rPr>
            <w:rFonts w:ascii="Times New Roman" w:eastAsia="Times New Roman" w:hAnsi="Times New Roman" w:cs="Times New Roman"/>
            <w:b/>
            <w:color w:val="1155CC"/>
            <w:u w:val="single"/>
          </w:rPr>
          <w:t xml:space="preserve">Satisfaction of pre-litigation mediation is necessary for issuance of correspondence for amicable resolution of disputes </w:t>
        </w:r>
      </w:hyperlink>
      <w:r>
        <w:rPr>
          <w:rFonts w:ascii="Times New Roman" w:eastAsia="Times New Roman" w:hAnsi="Times New Roman" w:cs="Times New Roman"/>
          <w:b/>
          <w:color w:val="1155CC"/>
          <w:u w:val="single"/>
        </w:rPr>
        <w:t xml:space="preserve">under Section 12A the </w:t>
      </w:r>
      <w:hyperlink r:id="rId54">
        <w:r>
          <w:rPr>
            <w:rFonts w:ascii="Times New Roman" w:eastAsia="Times New Roman" w:hAnsi="Times New Roman" w:cs="Times New Roman"/>
            <w:b/>
            <w:color w:val="1155CC"/>
            <w:u w:val="single"/>
          </w:rPr>
          <w:t>Commercial Courts Act, 2015</w:t>
        </w:r>
      </w:hyperlink>
      <w:r>
        <w:rPr>
          <w:rFonts w:ascii="Times New Roman" w:eastAsia="Times New Roman" w:hAnsi="Times New Roman" w:cs="Times New Roman"/>
          <w:b/>
          <w:color w:val="1155CC"/>
          <w:u w:val="single"/>
        </w:rPr>
        <w:t xml:space="preserve"> - Delhi HC</w:t>
      </w:r>
    </w:p>
    <w:p w14:paraId="0000007F" w14:textId="77777777" w:rsidR="003702A7" w:rsidRDefault="003702A7">
      <w:pPr>
        <w:jc w:val="both"/>
        <w:rPr>
          <w:rFonts w:ascii="Times New Roman" w:eastAsia="Times New Roman" w:hAnsi="Times New Roman" w:cs="Times New Roman"/>
        </w:rPr>
      </w:pPr>
    </w:p>
    <w:p w14:paraId="00000080"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A Single Judge Bench of the Delhi High Court in case of </w:t>
      </w:r>
      <w:hyperlink r:id="rId55">
        <w:r>
          <w:rPr>
            <w:rFonts w:ascii="Times New Roman" w:eastAsia="Times New Roman" w:hAnsi="Times New Roman" w:cs="Times New Roman"/>
            <w:color w:val="1155CC"/>
            <w:highlight w:val="white"/>
            <w:u w:val="single"/>
          </w:rPr>
          <w:t xml:space="preserve">Bolt Technology OU. v. </w:t>
        </w:r>
        <w:proofErr w:type="spellStart"/>
        <w:r>
          <w:rPr>
            <w:rFonts w:ascii="Times New Roman" w:eastAsia="Times New Roman" w:hAnsi="Times New Roman" w:cs="Times New Roman"/>
            <w:color w:val="1155CC"/>
            <w:highlight w:val="white"/>
            <w:u w:val="single"/>
          </w:rPr>
          <w:t>Ujoy</w:t>
        </w:r>
        <w:proofErr w:type="spellEnd"/>
        <w:r>
          <w:rPr>
            <w:rFonts w:ascii="Times New Roman" w:eastAsia="Times New Roman" w:hAnsi="Times New Roman" w:cs="Times New Roman"/>
            <w:color w:val="1155CC"/>
            <w:highlight w:val="white"/>
            <w:u w:val="single"/>
          </w:rPr>
          <w:t xml:space="preserve"> Technology Private limited</w:t>
        </w:r>
      </w:hyperlink>
      <w:r>
        <w:rPr>
          <w:rFonts w:ascii="Times New Roman" w:eastAsia="Times New Roman" w:hAnsi="Times New Roman" w:cs="Times New Roman"/>
          <w:color w:val="1155CC"/>
          <w:highlight w:val="white"/>
          <w:vertAlign w:val="superscript"/>
        </w:rPr>
        <w:footnoteReference w:id="6"/>
      </w:r>
      <w:r>
        <w:rPr>
          <w:rFonts w:ascii="Times New Roman" w:eastAsia="Times New Roman" w:hAnsi="Times New Roman" w:cs="Times New Roman"/>
          <w:color w:val="1155CC"/>
          <w:highlight w:val="white"/>
        </w:rPr>
        <w:t>,</w:t>
      </w:r>
      <w:r>
        <w:rPr>
          <w:rFonts w:ascii="Times New Roman" w:eastAsia="Times New Roman" w:hAnsi="Times New Roman" w:cs="Times New Roman"/>
        </w:rPr>
        <w:t>held that urgent interim relief is important in Intellectual Property Rights (IPR) since it not merely protects the rights of the party, but also of the customer and services involved.</w:t>
      </w:r>
    </w:p>
    <w:p w14:paraId="00000081" w14:textId="77777777" w:rsidR="003702A7" w:rsidRDefault="003702A7">
      <w:pPr>
        <w:jc w:val="both"/>
        <w:rPr>
          <w:rFonts w:ascii="Times New Roman" w:eastAsia="Times New Roman" w:hAnsi="Times New Roman" w:cs="Times New Roman"/>
          <w:b/>
          <w:u w:val="single"/>
        </w:rPr>
      </w:pPr>
    </w:p>
    <w:p w14:paraId="00000082" w14:textId="77777777" w:rsidR="003702A7" w:rsidRDefault="00000000">
      <w:pPr>
        <w:jc w:val="both"/>
        <w:rPr>
          <w:rFonts w:ascii="Times New Roman" w:eastAsia="Times New Roman" w:hAnsi="Times New Roman" w:cs="Times New Roman"/>
          <w:b/>
          <w:u w:val="single"/>
        </w:rPr>
      </w:pPr>
      <w:r>
        <w:rPr>
          <w:rFonts w:ascii="Times New Roman" w:eastAsia="Times New Roman" w:hAnsi="Times New Roman" w:cs="Times New Roman"/>
          <w:b/>
          <w:u w:val="single"/>
        </w:rPr>
        <w:t>Facts</w:t>
      </w:r>
    </w:p>
    <w:p w14:paraId="00000083" w14:textId="77777777" w:rsidR="003702A7" w:rsidRDefault="003702A7">
      <w:pPr>
        <w:jc w:val="both"/>
        <w:rPr>
          <w:rFonts w:ascii="Times New Roman" w:eastAsia="Times New Roman" w:hAnsi="Times New Roman" w:cs="Times New Roman"/>
          <w:u w:val="single"/>
        </w:rPr>
      </w:pPr>
    </w:p>
    <w:p w14:paraId="00000084"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 suit was filed by Bolt Technology OU (“Bolt") seeking permanent injunction against the </w:t>
      </w:r>
      <w:proofErr w:type="spellStart"/>
      <w:r>
        <w:rPr>
          <w:rFonts w:ascii="Times New Roman" w:eastAsia="Times New Roman" w:hAnsi="Times New Roman" w:cs="Times New Roman"/>
        </w:rPr>
        <w:t>Ujoy</w:t>
      </w:r>
      <w:proofErr w:type="spellEnd"/>
      <w:r>
        <w:rPr>
          <w:rFonts w:ascii="Times New Roman" w:eastAsia="Times New Roman" w:hAnsi="Times New Roman" w:cs="Times New Roman"/>
        </w:rPr>
        <w:t xml:space="preserve"> Technology for the infringement of trademark and copyright. They used the identical mark ‘BOLT’, along with the logo, in relation to the identical business of the provision of charging points for Electric Vehicles (EVs). An application was filed by Bolt Technology seeking exemption from</w:t>
      </w:r>
      <w:r>
        <w:rPr>
          <w:rFonts w:ascii="Times New Roman" w:eastAsia="Times New Roman" w:hAnsi="Times New Roman" w:cs="Times New Roman"/>
          <w:color w:val="1155CC"/>
        </w:rPr>
        <w:t xml:space="preserve"> </w:t>
      </w:r>
      <w:hyperlink r:id="rId56">
        <w:r>
          <w:rPr>
            <w:rFonts w:ascii="Times New Roman" w:eastAsia="Times New Roman" w:hAnsi="Times New Roman" w:cs="Times New Roman"/>
            <w:color w:val="1155CC"/>
            <w:u w:val="single"/>
          </w:rPr>
          <w:t>Section 12A of the Commercial Courts Act, 2015 (</w:t>
        </w:r>
      </w:hyperlink>
      <w:r>
        <w:rPr>
          <w:rFonts w:ascii="Times New Roman" w:eastAsia="Times New Roman" w:hAnsi="Times New Roman" w:cs="Times New Roman"/>
          <w:color w:val="1155CC"/>
        </w:rPr>
        <w:t>hereinafter CCA’)</w:t>
      </w:r>
      <w:r>
        <w:rPr>
          <w:rFonts w:ascii="Times New Roman" w:eastAsia="Times New Roman" w:hAnsi="Times New Roman" w:cs="Times New Roman"/>
        </w:rPr>
        <w:t xml:space="preserve"> for instituting pre-litigation mediation.</w:t>
      </w:r>
    </w:p>
    <w:p w14:paraId="00000085" w14:textId="77777777" w:rsidR="003702A7" w:rsidRDefault="003702A7">
      <w:pPr>
        <w:jc w:val="both"/>
        <w:rPr>
          <w:rFonts w:ascii="Times New Roman" w:eastAsia="Times New Roman" w:hAnsi="Times New Roman" w:cs="Times New Roman"/>
          <w:b/>
        </w:rPr>
      </w:pPr>
    </w:p>
    <w:p w14:paraId="00000086" w14:textId="77777777" w:rsidR="003702A7" w:rsidRDefault="003702A7">
      <w:pPr>
        <w:jc w:val="both"/>
        <w:rPr>
          <w:rFonts w:ascii="Times New Roman" w:eastAsia="Times New Roman" w:hAnsi="Times New Roman" w:cs="Times New Roman"/>
          <w:b/>
        </w:rPr>
      </w:pPr>
    </w:p>
    <w:p w14:paraId="00000087" w14:textId="77777777" w:rsidR="003702A7" w:rsidRDefault="00000000">
      <w:pPr>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Defendant’s Arguments </w:t>
      </w:r>
    </w:p>
    <w:p w14:paraId="00000088" w14:textId="77777777" w:rsidR="003702A7" w:rsidRDefault="003702A7">
      <w:pPr>
        <w:jc w:val="both"/>
        <w:rPr>
          <w:rFonts w:ascii="Times New Roman" w:eastAsia="Times New Roman" w:hAnsi="Times New Roman" w:cs="Times New Roman"/>
          <w:u w:val="single"/>
        </w:rPr>
      </w:pPr>
    </w:p>
    <w:p w14:paraId="00000089"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Defendant relied on the judgement </w:t>
      </w:r>
      <w:hyperlink r:id="rId57">
        <w:r>
          <w:rPr>
            <w:rFonts w:ascii="Times New Roman" w:eastAsia="Times New Roman" w:hAnsi="Times New Roman" w:cs="Times New Roman"/>
            <w:color w:val="1155CC"/>
            <w:u w:val="single"/>
          </w:rPr>
          <w:t xml:space="preserve">Patil Automation Private Limited &amp; </w:t>
        </w:r>
        <w:proofErr w:type="spellStart"/>
        <w:r>
          <w:rPr>
            <w:rFonts w:ascii="Times New Roman" w:eastAsia="Times New Roman" w:hAnsi="Times New Roman" w:cs="Times New Roman"/>
            <w:color w:val="1155CC"/>
            <w:u w:val="single"/>
          </w:rPr>
          <w:t>Ors</w:t>
        </w:r>
        <w:proofErr w:type="spellEnd"/>
        <w:r>
          <w:rPr>
            <w:rFonts w:ascii="Times New Roman" w:eastAsia="Times New Roman" w:hAnsi="Times New Roman" w:cs="Times New Roman"/>
            <w:color w:val="1155CC"/>
            <w:u w:val="single"/>
          </w:rPr>
          <w:t xml:space="preserve">. V. </w:t>
        </w:r>
        <w:proofErr w:type="spellStart"/>
        <w:r>
          <w:rPr>
            <w:rFonts w:ascii="Times New Roman" w:eastAsia="Times New Roman" w:hAnsi="Times New Roman" w:cs="Times New Roman"/>
            <w:color w:val="1155CC"/>
            <w:u w:val="single"/>
          </w:rPr>
          <w:t>Rakheja</w:t>
        </w:r>
        <w:proofErr w:type="spellEnd"/>
        <w:r>
          <w:rPr>
            <w:rFonts w:ascii="Times New Roman" w:eastAsia="Times New Roman" w:hAnsi="Times New Roman" w:cs="Times New Roman"/>
            <w:color w:val="1155CC"/>
            <w:u w:val="single"/>
          </w:rPr>
          <w:t xml:space="preserve"> Engineers Private Limited</w:t>
        </w:r>
      </w:hyperlink>
      <w:r>
        <w:rPr>
          <w:rFonts w:ascii="Times New Roman" w:eastAsia="Times New Roman" w:hAnsi="Times New Roman" w:cs="Times New Roman"/>
          <w:color w:val="1155CC"/>
          <w:u w:val="single"/>
          <w:vertAlign w:val="superscript"/>
        </w:rPr>
        <w:footnoteReference w:id="7"/>
      </w:r>
      <w:r>
        <w:rPr>
          <w:rFonts w:ascii="Times New Roman" w:eastAsia="Times New Roman" w:hAnsi="Times New Roman" w:cs="Times New Roman"/>
        </w:rPr>
        <w:t>, wherein it was held by the Supreme Court that</w:t>
      </w:r>
      <w:r>
        <w:rPr>
          <w:rFonts w:ascii="Times New Roman" w:eastAsia="Times New Roman" w:hAnsi="Times New Roman" w:cs="Times New Roman"/>
          <w:color w:val="1155CC"/>
          <w:u w:val="single"/>
        </w:rPr>
        <w:t xml:space="preserve"> </w:t>
      </w:r>
      <w:hyperlink r:id="rId58">
        <w:r>
          <w:rPr>
            <w:rFonts w:ascii="Times New Roman" w:eastAsia="Times New Roman" w:hAnsi="Times New Roman" w:cs="Times New Roman"/>
            <w:color w:val="1155CC"/>
            <w:u w:val="single"/>
          </w:rPr>
          <w:t>Section 12A of the CCA</w:t>
        </w:r>
      </w:hyperlink>
      <w:r>
        <w:rPr>
          <w:rFonts w:ascii="Times New Roman" w:eastAsia="Times New Roman" w:hAnsi="Times New Roman" w:cs="Times New Roman"/>
          <w:color w:val="1155CC"/>
          <w:u w:val="single"/>
        </w:rPr>
        <w:t xml:space="preserve">, </w:t>
      </w:r>
      <w:hyperlink r:id="rId59">
        <w:r>
          <w:rPr>
            <w:rFonts w:ascii="Times New Roman" w:eastAsia="Times New Roman" w:hAnsi="Times New Roman" w:cs="Times New Roman"/>
            <w:color w:val="1155CC"/>
            <w:u w:val="single"/>
          </w:rPr>
          <w:t>2015</w:t>
        </w:r>
      </w:hyperlink>
      <w:r>
        <w:rPr>
          <w:rFonts w:ascii="Times New Roman" w:eastAsia="Times New Roman" w:hAnsi="Times New Roman" w:cs="Times New Roman"/>
        </w:rPr>
        <w:t xml:space="preserve"> is mandatory and no suit can be instituted without exhausting the pre-litigation mediation first. Further, the Supreme Court held that it is not merely a procedural law and if </w:t>
      </w:r>
      <w:hyperlink r:id="rId60">
        <w:r>
          <w:rPr>
            <w:rFonts w:ascii="Times New Roman" w:eastAsia="Times New Roman" w:hAnsi="Times New Roman" w:cs="Times New Roman"/>
            <w:color w:val="1155CC"/>
            <w:u w:val="single"/>
          </w:rPr>
          <w:t>Section 12A</w:t>
        </w:r>
      </w:hyperlink>
      <w:r>
        <w:rPr>
          <w:rFonts w:ascii="Times New Roman" w:eastAsia="Times New Roman" w:hAnsi="Times New Roman" w:cs="Times New Roman"/>
        </w:rPr>
        <w:t xml:space="preserve"> is violated in any case then through </w:t>
      </w:r>
      <w:r>
        <w:rPr>
          <w:rFonts w:ascii="Times New Roman" w:eastAsia="Times New Roman" w:hAnsi="Times New Roman" w:cs="Times New Roman"/>
          <w:color w:val="1155CC"/>
          <w:u w:val="single"/>
        </w:rPr>
        <w:t>O</w:t>
      </w:r>
      <w:hyperlink r:id="rId61">
        <w:r>
          <w:rPr>
            <w:rFonts w:ascii="Times New Roman" w:eastAsia="Times New Roman" w:hAnsi="Times New Roman" w:cs="Times New Roman"/>
            <w:color w:val="1155CC"/>
            <w:u w:val="single"/>
          </w:rPr>
          <w:t xml:space="preserve">rder VII Rule 11 of the Code of Civil Procedure </w:t>
        </w:r>
      </w:hyperlink>
      <w:r>
        <w:rPr>
          <w:rFonts w:ascii="Times New Roman" w:eastAsia="Times New Roman" w:hAnsi="Times New Roman" w:cs="Times New Roman"/>
        </w:rPr>
        <w:t>, the suit will be rejected.</w:t>
      </w:r>
    </w:p>
    <w:p w14:paraId="0000008A" w14:textId="77777777" w:rsidR="003702A7" w:rsidRDefault="003702A7">
      <w:pPr>
        <w:jc w:val="both"/>
        <w:rPr>
          <w:rFonts w:ascii="Times New Roman" w:eastAsia="Times New Roman" w:hAnsi="Times New Roman" w:cs="Times New Roman"/>
          <w:b/>
          <w:u w:val="single"/>
        </w:rPr>
      </w:pPr>
    </w:p>
    <w:p w14:paraId="0000008B" w14:textId="77777777" w:rsidR="003702A7" w:rsidRDefault="00000000">
      <w:pPr>
        <w:jc w:val="both"/>
        <w:rPr>
          <w:rFonts w:ascii="Times New Roman" w:eastAsia="Times New Roman" w:hAnsi="Times New Roman" w:cs="Times New Roman"/>
          <w:b/>
          <w:u w:val="single"/>
        </w:rPr>
      </w:pPr>
      <w:r>
        <w:rPr>
          <w:rFonts w:ascii="Times New Roman" w:eastAsia="Times New Roman" w:hAnsi="Times New Roman" w:cs="Times New Roman"/>
          <w:b/>
          <w:u w:val="single"/>
        </w:rPr>
        <w:t>Contentions of Plaintiff</w:t>
      </w:r>
    </w:p>
    <w:p w14:paraId="0000008C" w14:textId="77777777" w:rsidR="003702A7" w:rsidRDefault="003702A7">
      <w:pPr>
        <w:jc w:val="both"/>
        <w:rPr>
          <w:rFonts w:ascii="Times New Roman" w:eastAsia="Times New Roman" w:hAnsi="Times New Roman" w:cs="Times New Roman"/>
        </w:rPr>
      </w:pPr>
    </w:p>
    <w:p w14:paraId="0000008D"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Plaintiffs argued that the same judgement also stated that a lawsuit might be filed without using pre-litigation mediation if an urgent interim relief was required. Plaintiffs claimed that if a resolution could be proposed, the dispute might be resolved peacefully in the cease-and-desist notification sent to Defendants.</w:t>
      </w:r>
    </w:p>
    <w:p w14:paraId="0000008E" w14:textId="77777777" w:rsidR="003702A7" w:rsidRDefault="003702A7">
      <w:pPr>
        <w:jc w:val="both"/>
        <w:rPr>
          <w:rFonts w:ascii="Times New Roman" w:eastAsia="Times New Roman" w:hAnsi="Times New Roman" w:cs="Times New Roman"/>
        </w:rPr>
      </w:pPr>
    </w:p>
    <w:p w14:paraId="0000008F" w14:textId="77777777" w:rsidR="003702A7" w:rsidRDefault="00000000">
      <w:pPr>
        <w:jc w:val="both"/>
        <w:rPr>
          <w:rFonts w:ascii="Times New Roman" w:eastAsia="Times New Roman" w:hAnsi="Times New Roman" w:cs="Times New Roman"/>
          <w:b/>
          <w:u w:val="single"/>
        </w:rPr>
      </w:pPr>
      <w:r>
        <w:rPr>
          <w:rFonts w:ascii="Times New Roman" w:eastAsia="Times New Roman" w:hAnsi="Times New Roman" w:cs="Times New Roman"/>
          <w:b/>
          <w:u w:val="single"/>
        </w:rPr>
        <w:t>Judgement</w:t>
      </w:r>
    </w:p>
    <w:p w14:paraId="00000090" w14:textId="77777777" w:rsidR="003702A7" w:rsidRDefault="003702A7">
      <w:pPr>
        <w:jc w:val="both"/>
        <w:rPr>
          <w:rFonts w:ascii="Times New Roman" w:eastAsia="Times New Roman" w:hAnsi="Times New Roman" w:cs="Times New Roman"/>
        </w:rPr>
      </w:pPr>
    </w:p>
    <w:p w14:paraId="00000091" w14:textId="2E23A4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The Court observed that by the defendant using an identical mark ‘BOLT’ which is available on both Google Play and Apple App Store, consumers could download ‘Bolt’ and ‘BOLT’ which infringe the rights of the petitioner. The Court further noted that the Defendant has termed the legal notice as a “frivolous notice” when Bolt submits an amicable resolution.</w:t>
      </w:r>
    </w:p>
    <w:p w14:paraId="28693D27" w14:textId="77777777" w:rsidR="001A65BE" w:rsidRDefault="001A65BE">
      <w:pPr>
        <w:jc w:val="both"/>
        <w:rPr>
          <w:rFonts w:ascii="Times New Roman" w:eastAsia="Times New Roman" w:hAnsi="Times New Roman" w:cs="Times New Roman"/>
        </w:rPr>
      </w:pPr>
    </w:p>
    <w:p w14:paraId="00000092"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The court was yet to observe the application seeking interim injunction, however the Defendant willing to ascertain the amicable resolution of the dispute, matter was referred to the Delhi High Court Mediation and Conciliation Centre. </w:t>
      </w:r>
    </w:p>
    <w:p w14:paraId="00000093" w14:textId="77777777" w:rsidR="003702A7" w:rsidRDefault="003702A7">
      <w:pPr>
        <w:jc w:val="both"/>
        <w:rPr>
          <w:rFonts w:ascii="Times New Roman" w:eastAsia="Times New Roman" w:hAnsi="Times New Roman" w:cs="Times New Roman"/>
          <w:b/>
          <w:u w:val="single"/>
        </w:rPr>
      </w:pPr>
    </w:p>
    <w:p w14:paraId="00000094" w14:textId="77777777" w:rsidR="003702A7" w:rsidRDefault="003702A7">
      <w:pPr>
        <w:jc w:val="both"/>
        <w:rPr>
          <w:rFonts w:ascii="Times New Roman" w:eastAsia="Times New Roman" w:hAnsi="Times New Roman" w:cs="Times New Roman"/>
          <w:b/>
          <w:u w:val="single"/>
        </w:rPr>
      </w:pPr>
    </w:p>
    <w:p w14:paraId="00000095" w14:textId="77777777" w:rsidR="003702A7" w:rsidRDefault="00000000">
      <w:pPr>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Analysis </w:t>
      </w:r>
    </w:p>
    <w:p w14:paraId="00000096" w14:textId="77777777" w:rsidR="003702A7" w:rsidRDefault="003702A7">
      <w:pPr>
        <w:jc w:val="both"/>
        <w:rPr>
          <w:rFonts w:ascii="Times New Roman" w:eastAsia="Times New Roman" w:hAnsi="Times New Roman" w:cs="Times New Roman"/>
        </w:rPr>
      </w:pPr>
    </w:p>
    <w:p w14:paraId="00000097" w14:textId="685BC56D" w:rsidR="003702A7" w:rsidRDefault="00000000">
      <w:pPr>
        <w:shd w:val="clear" w:color="auto" w:fill="FFFFFF"/>
        <w:spacing w:after="220"/>
        <w:jc w:val="both"/>
        <w:rPr>
          <w:rFonts w:ascii="Times New Roman" w:eastAsia="Times New Roman" w:hAnsi="Times New Roman" w:cs="Times New Roman"/>
        </w:rPr>
      </w:pPr>
      <w:hyperlink r:id="rId62">
        <w:r>
          <w:rPr>
            <w:rFonts w:ascii="Times New Roman" w:eastAsia="Times New Roman" w:hAnsi="Times New Roman" w:cs="Times New Roman"/>
            <w:color w:val="1155CC"/>
            <w:u w:val="single"/>
          </w:rPr>
          <w:t xml:space="preserve">Section 12A of the Commercial Courts Act, 2015 </w:t>
        </w:r>
      </w:hyperlink>
      <w:r>
        <w:rPr>
          <w:rFonts w:ascii="Times New Roman" w:eastAsia="Times New Roman" w:hAnsi="Times New Roman" w:cs="Times New Roman"/>
        </w:rPr>
        <w:t xml:space="preserve"> provides a remedy when the mediation process is misused by the Defendants to delay the Plaintiffs from obtaining any relief Further, the Court’s aim is to avoid confusion, deception, unfair and fraudulent practices in the marketplace.</w:t>
      </w:r>
    </w:p>
    <w:p w14:paraId="00000098" w14:textId="77777777" w:rsidR="003702A7" w:rsidRDefault="00000000">
      <w:pPr>
        <w:shd w:val="clear" w:color="auto" w:fill="FFFFFF"/>
        <w:spacing w:after="220" w:line="504"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w:t>
      </w:r>
    </w:p>
    <w:p w14:paraId="00000099" w14:textId="77777777" w:rsidR="003702A7" w:rsidRDefault="00000000">
      <w:pPr>
        <w:pStyle w:val="Heading1"/>
        <w:jc w:val="both"/>
      </w:pPr>
      <w:bookmarkStart w:id="3" w:name="_heading=h.1fob9te" w:colFirst="0" w:colLast="0"/>
      <w:bookmarkEnd w:id="3"/>
      <w:r>
        <w:t>NCLAT Judgments</w:t>
      </w:r>
    </w:p>
    <w:p w14:paraId="0000009A" w14:textId="77777777" w:rsidR="003702A7" w:rsidRDefault="00000000">
      <w:pPr>
        <w:spacing w:before="240" w:after="240"/>
        <w:ind w:left="360"/>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ab/>
      </w:r>
      <w:hyperlink r:id="rId63">
        <w:r>
          <w:rPr>
            <w:rFonts w:ascii="Times New Roman" w:eastAsia="Times New Roman" w:hAnsi="Times New Roman" w:cs="Times New Roman"/>
            <w:b/>
            <w:color w:val="1155CC"/>
            <w:u w:val="single"/>
          </w:rPr>
          <w:t>Debtors' status arrived at finality cannot be modified: NCLAT Delhi</w:t>
        </w:r>
      </w:hyperlink>
    </w:p>
    <w:p w14:paraId="0000009B" w14:textId="77777777" w:rsidR="003702A7"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In the case of </w:t>
      </w:r>
      <w:hyperlink r:id="rId64">
        <w:r>
          <w:rPr>
            <w:rFonts w:ascii="Times New Roman" w:eastAsia="Times New Roman" w:hAnsi="Times New Roman" w:cs="Times New Roman"/>
            <w:b/>
            <w:color w:val="1155CC"/>
            <w:u w:val="single"/>
          </w:rPr>
          <w:t xml:space="preserve">Raghavendra G </w:t>
        </w:r>
        <w:proofErr w:type="spellStart"/>
        <w:r>
          <w:rPr>
            <w:rFonts w:ascii="Times New Roman" w:eastAsia="Times New Roman" w:hAnsi="Times New Roman" w:cs="Times New Roman"/>
            <w:b/>
            <w:color w:val="1155CC"/>
            <w:u w:val="single"/>
          </w:rPr>
          <w:t>Kundangar</w:t>
        </w:r>
        <w:proofErr w:type="spellEnd"/>
        <w:r>
          <w:rPr>
            <w:rFonts w:ascii="Times New Roman" w:eastAsia="Times New Roman" w:hAnsi="Times New Roman" w:cs="Times New Roman"/>
            <w:b/>
            <w:color w:val="1155CC"/>
            <w:u w:val="single"/>
          </w:rPr>
          <w:t xml:space="preserve"> &amp; </w:t>
        </w:r>
        <w:proofErr w:type="spellStart"/>
        <w:r>
          <w:rPr>
            <w:rFonts w:ascii="Times New Roman" w:eastAsia="Times New Roman" w:hAnsi="Times New Roman" w:cs="Times New Roman"/>
            <w:b/>
            <w:color w:val="1155CC"/>
            <w:u w:val="single"/>
          </w:rPr>
          <w:t>Ors</w:t>
        </w:r>
        <w:proofErr w:type="spellEnd"/>
        <w:r>
          <w:rPr>
            <w:rFonts w:ascii="Times New Roman" w:eastAsia="Times New Roman" w:hAnsi="Times New Roman" w:cs="Times New Roman"/>
            <w:b/>
            <w:color w:val="1155CC"/>
            <w:u w:val="single"/>
          </w:rPr>
          <w:t xml:space="preserve"> v. Shashi Agarwal &amp; </w:t>
        </w:r>
        <w:proofErr w:type="spellStart"/>
        <w:r>
          <w:rPr>
            <w:rFonts w:ascii="Times New Roman" w:eastAsia="Times New Roman" w:hAnsi="Times New Roman" w:cs="Times New Roman"/>
            <w:b/>
            <w:color w:val="1155CC"/>
            <w:u w:val="single"/>
          </w:rPr>
          <w:t>Anr</w:t>
        </w:r>
        <w:proofErr w:type="spellEnd"/>
      </w:hyperlink>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dated August 24, 2022, the NCLAT bench comprising of Ashok Bhushan, J., M Satyanarayana Murthy, </w:t>
      </w:r>
      <w:proofErr w:type="spellStart"/>
      <w:r>
        <w:rPr>
          <w:rFonts w:ascii="Times New Roman" w:eastAsia="Times New Roman" w:hAnsi="Times New Roman" w:cs="Times New Roman"/>
        </w:rPr>
        <w:t>J.and</w:t>
      </w:r>
      <w:proofErr w:type="spellEnd"/>
      <w:r>
        <w:rPr>
          <w:rFonts w:ascii="Times New Roman" w:eastAsia="Times New Roman" w:hAnsi="Times New Roman" w:cs="Times New Roman"/>
        </w:rPr>
        <w:t xml:space="preserve"> Mr. </w:t>
      </w:r>
      <w:proofErr w:type="spellStart"/>
      <w:r>
        <w:rPr>
          <w:rFonts w:ascii="Times New Roman" w:eastAsia="Times New Roman" w:hAnsi="Times New Roman" w:cs="Times New Roman"/>
        </w:rPr>
        <w:t>Barun</w:t>
      </w:r>
      <w:proofErr w:type="spellEnd"/>
      <w:r>
        <w:rPr>
          <w:rFonts w:ascii="Times New Roman" w:eastAsia="Times New Roman" w:hAnsi="Times New Roman" w:cs="Times New Roman"/>
        </w:rPr>
        <w:t xml:space="preserve"> Mitra(TM), applied the </w:t>
      </w:r>
      <w:r>
        <w:rPr>
          <w:rFonts w:ascii="Times New Roman" w:eastAsia="Times New Roman" w:hAnsi="Times New Roman" w:cs="Times New Roman"/>
          <w:i/>
        </w:rPr>
        <w:t>Doctrine of Prospective Overruling</w:t>
      </w:r>
      <w:r>
        <w:rPr>
          <w:rFonts w:ascii="Times New Roman" w:eastAsia="Times New Roman" w:hAnsi="Times New Roman" w:cs="Times New Roman"/>
        </w:rPr>
        <w:t xml:space="preserve"> while observing that when the quality of a debtor becomes final, it cannot be modified on the basis of a subsequent judgement in different proceedings.</w:t>
      </w:r>
    </w:p>
    <w:p w14:paraId="0000009C" w14:textId="77777777" w:rsidR="003702A7"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Facts of the Case </w:t>
      </w:r>
    </w:p>
    <w:p w14:paraId="0000009D" w14:textId="77777777" w:rsidR="003702A7" w:rsidRDefault="00000000">
      <w:pPr>
        <w:numPr>
          <w:ilvl w:val="0"/>
          <w:numId w:val="7"/>
        </w:numPr>
        <w:spacing w:before="240"/>
        <w:jc w:val="both"/>
        <w:rPr>
          <w:rFonts w:ascii="Times New Roman" w:eastAsia="Times New Roman" w:hAnsi="Times New Roman" w:cs="Times New Roman"/>
        </w:rPr>
      </w:pPr>
      <w:r>
        <w:rPr>
          <w:rFonts w:ascii="Times New Roman" w:eastAsia="Times New Roman" w:hAnsi="Times New Roman" w:cs="Times New Roman"/>
        </w:rPr>
        <w:t xml:space="preserve">Jindal Steel &amp; Power Ltd. claiming to be Financial Creditor of Bharat NRE Coke Ltd. filed an application under </w:t>
      </w:r>
      <w:hyperlink r:id="rId65">
        <w:r>
          <w:rPr>
            <w:rFonts w:ascii="Times New Roman" w:eastAsia="Times New Roman" w:hAnsi="Times New Roman" w:cs="Times New Roman"/>
            <w:color w:val="1155CC"/>
            <w:u w:val="single"/>
          </w:rPr>
          <w:t>Section 7 of the Insolvency and Bankruptcy Code, 2016</w:t>
        </w:r>
      </w:hyperlink>
      <w:r>
        <w:rPr>
          <w:rFonts w:ascii="Times New Roman" w:eastAsia="Times New Roman" w:hAnsi="Times New Roman" w:cs="Times New Roman"/>
        </w:rPr>
        <w:t xml:space="preserve"> for the commencement of Corporate Insolvency Resolution Process (CIRP) against the debtor company, claiming that there was an ongoing financial debt relating to the supply of equipment to the company.</w:t>
      </w:r>
    </w:p>
    <w:p w14:paraId="0000009E" w14:textId="77777777" w:rsidR="003702A7" w:rsidRDefault="00000000">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 xml:space="preserve">Thereafter, various appeals which were preferred by the appellants along with other appeals in the matters of </w:t>
      </w:r>
      <w:hyperlink r:id="rId66">
        <w:r>
          <w:rPr>
            <w:rFonts w:ascii="Times New Roman" w:eastAsia="Times New Roman" w:hAnsi="Times New Roman" w:cs="Times New Roman"/>
            <w:b/>
            <w:color w:val="1155CC"/>
            <w:u w:val="single"/>
          </w:rPr>
          <w:t xml:space="preserve">Arun Kumar </w:t>
        </w:r>
        <w:proofErr w:type="spellStart"/>
        <w:r>
          <w:rPr>
            <w:rFonts w:ascii="Times New Roman" w:eastAsia="Times New Roman" w:hAnsi="Times New Roman" w:cs="Times New Roman"/>
            <w:b/>
            <w:color w:val="1155CC"/>
            <w:u w:val="single"/>
          </w:rPr>
          <w:t>Jagatramka</w:t>
        </w:r>
        <w:proofErr w:type="spellEnd"/>
        <w:r>
          <w:rPr>
            <w:rFonts w:ascii="Times New Roman" w:eastAsia="Times New Roman" w:hAnsi="Times New Roman" w:cs="Times New Roman"/>
            <w:b/>
            <w:color w:val="1155CC"/>
            <w:u w:val="single"/>
          </w:rPr>
          <w:t xml:space="preserve"> v. Jindal Stee</w:t>
        </w:r>
      </w:hyperlink>
      <w:hyperlink r:id="rId67">
        <w:r>
          <w:rPr>
            <w:rFonts w:ascii="Times New Roman" w:eastAsia="Times New Roman" w:hAnsi="Times New Roman" w:cs="Times New Roman"/>
            <w:b/>
            <w:color w:val="0563C1"/>
            <w:u w:val="single"/>
          </w:rPr>
          <w:t>l</w:t>
        </w:r>
      </w:hyperlink>
      <w:r>
        <w:rPr>
          <w:rFonts w:ascii="Times New Roman" w:eastAsia="Times New Roman" w:hAnsi="Times New Roman" w:cs="Times New Roman"/>
          <w:b/>
          <w:color w:val="0563C1"/>
          <w:u w:val="single"/>
        </w:rPr>
        <w:t xml:space="preserve"> &amp; </w:t>
      </w:r>
      <w:hyperlink r:id="rId68">
        <w:r>
          <w:rPr>
            <w:rFonts w:ascii="Times New Roman" w:eastAsia="Times New Roman" w:hAnsi="Times New Roman" w:cs="Times New Roman"/>
            <w:b/>
            <w:color w:val="0563C1"/>
            <w:u w:val="single"/>
          </w:rPr>
          <w:t>P</w:t>
        </w:r>
      </w:hyperlink>
      <w:hyperlink r:id="rId69">
        <w:r>
          <w:rPr>
            <w:rFonts w:ascii="Times New Roman" w:eastAsia="Times New Roman" w:hAnsi="Times New Roman" w:cs="Times New Roman"/>
            <w:b/>
            <w:color w:val="1155CC"/>
            <w:u w:val="single"/>
          </w:rPr>
          <w:t>ower Limited</w:t>
        </w:r>
      </w:hyperlink>
      <w:r>
        <w:rPr>
          <w:rFonts w:ascii="Times New Roman" w:eastAsia="Times New Roman" w:hAnsi="Times New Roman" w:cs="Times New Roman"/>
          <w:b/>
          <w:color w:val="1155CC"/>
          <w:u w:val="single"/>
          <w:vertAlign w:val="superscript"/>
        </w:rPr>
        <w:footnoteReference w:id="9"/>
      </w:r>
      <w:hyperlink r:id="rId70">
        <w:r>
          <w:rPr>
            <w:rFonts w:ascii="Times New Roman" w:eastAsia="Times New Roman" w:hAnsi="Times New Roman" w:cs="Times New Roman"/>
            <w:b/>
            <w:color w:val="1155CC"/>
            <w:u w:val="single"/>
          </w:rPr>
          <w:t xml:space="preserve"> and Suraksha Asset Reconstruction Limited v. Jindal Steel &amp; Power Limited</w:t>
        </w:r>
      </w:hyperlink>
      <w:r>
        <w:rPr>
          <w:rFonts w:ascii="Times New Roman" w:eastAsia="Times New Roman" w:hAnsi="Times New Roman" w:cs="Times New Roman"/>
          <w:b/>
          <w:color w:val="1155CC"/>
          <w:u w:val="single"/>
          <w:vertAlign w:val="superscript"/>
        </w:rPr>
        <w:footnoteReference w:id="10"/>
      </w:r>
      <w:r>
        <w:rPr>
          <w:rFonts w:ascii="Times New Roman" w:eastAsia="Times New Roman" w:hAnsi="Times New Roman" w:cs="Times New Roman"/>
        </w:rPr>
        <w:t>, and were dismissed by the Apex Court.</w:t>
      </w:r>
    </w:p>
    <w:p w14:paraId="0000009F" w14:textId="77777777" w:rsidR="003702A7" w:rsidRDefault="00000000">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However, in the case of</w:t>
      </w:r>
      <w:r>
        <w:rPr>
          <w:rFonts w:ascii="Times New Roman" w:eastAsia="Times New Roman" w:hAnsi="Times New Roman" w:cs="Times New Roman"/>
          <w:b/>
        </w:rPr>
        <w:t xml:space="preserve"> </w:t>
      </w:r>
      <w:hyperlink r:id="rId71">
        <w:r>
          <w:rPr>
            <w:rFonts w:ascii="Times New Roman" w:eastAsia="Times New Roman" w:hAnsi="Times New Roman" w:cs="Times New Roman"/>
            <w:b/>
            <w:color w:val="1155CC"/>
            <w:u w:val="single"/>
          </w:rPr>
          <w:t>Anuj Jain v. Axis Bank Limited</w:t>
        </w:r>
      </w:hyperlink>
      <w:r>
        <w:rPr>
          <w:rFonts w:ascii="Times New Roman" w:eastAsia="Times New Roman" w:hAnsi="Times New Roman" w:cs="Times New Roman"/>
          <w:b/>
          <w:color w:val="1155CC"/>
          <w:u w:val="single"/>
          <w:vertAlign w:val="superscript"/>
        </w:rPr>
        <w:footnoteReference w:id="11"/>
      </w:r>
      <w:hyperlink r:id="rId72">
        <w:r>
          <w:rPr>
            <w:rFonts w:ascii="Times New Roman" w:eastAsia="Times New Roman" w:hAnsi="Times New Roman" w:cs="Times New Roman"/>
            <w:b/>
            <w:color w:val="1155CC"/>
            <w:u w:val="single"/>
          </w:rPr>
          <w:t xml:space="preserve"> </w:t>
        </w:r>
      </w:hyperlink>
      <w:r>
        <w:rPr>
          <w:rFonts w:ascii="Times New Roman" w:eastAsia="Times New Roman" w:hAnsi="Times New Roman" w:cs="Times New Roman"/>
        </w:rPr>
        <w:t xml:space="preserve">the Supreme Court ruled that the person who supplied material is not a financial creditor but an operational creditor. </w:t>
      </w:r>
    </w:p>
    <w:p w14:paraId="000000A0" w14:textId="77777777" w:rsidR="003702A7" w:rsidRDefault="00000000">
      <w:pPr>
        <w:numPr>
          <w:ilvl w:val="0"/>
          <w:numId w:val="7"/>
        </w:numPr>
        <w:spacing w:after="240"/>
        <w:jc w:val="both"/>
        <w:rPr>
          <w:rFonts w:ascii="Times New Roman" w:eastAsia="Times New Roman" w:hAnsi="Times New Roman" w:cs="Times New Roman"/>
        </w:rPr>
      </w:pPr>
      <w:r>
        <w:rPr>
          <w:rFonts w:ascii="Times New Roman" w:eastAsia="Times New Roman" w:hAnsi="Times New Roman" w:cs="Times New Roman"/>
        </w:rPr>
        <w:t>Based on the decision in the Anuj Jain case, the appellants filed an application for recalling the order of the NCLT.</w:t>
      </w:r>
    </w:p>
    <w:p w14:paraId="000000A1" w14:textId="77EADAEE" w:rsidR="003702A7"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The Matter </w:t>
      </w:r>
      <w:r w:rsidR="001A65BE">
        <w:rPr>
          <w:rFonts w:ascii="Times New Roman" w:eastAsia="Times New Roman" w:hAnsi="Times New Roman" w:cs="Times New Roman"/>
          <w:b/>
        </w:rPr>
        <w:t>in</w:t>
      </w:r>
      <w:r>
        <w:rPr>
          <w:rFonts w:ascii="Times New Roman" w:eastAsia="Times New Roman" w:hAnsi="Times New Roman" w:cs="Times New Roman"/>
          <w:b/>
        </w:rPr>
        <w:t xml:space="preserve"> Question</w:t>
      </w:r>
    </w:p>
    <w:p w14:paraId="000000A2" w14:textId="77777777" w:rsidR="003702A7"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Whether the order passed by NCLT can be set aside on the ground of the decision taken by the Supreme Court in </w:t>
      </w:r>
      <w:hyperlink r:id="rId73">
        <w:r>
          <w:rPr>
            <w:rFonts w:ascii="Times New Roman" w:eastAsia="Times New Roman" w:hAnsi="Times New Roman" w:cs="Times New Roman"/>
            <w:b/>
            <w:color w:val="1155CC"/>
            <w:u w:val="single"/>
          </w:rPr>
          <w:t>Anuj Jain v. Axis Bank Limited</w:t>
        </w:r>
      </w:hyperlink>
      <w:r>
        <w:rPr>
          <w:rFonts w:ascii="Times New Roman" w:eastAsia="Times New Roman" w:hAnsi="Times New Roman" w:cs="Times New Roman"/>
          <w:vertAlign w:val="superscript"/>
        </w:rPr>
        <w:footnoteReference w:id="12"/>
      </w:r>
      <w:r>
        <w:rPr>
          <w:rFonts w:ascii="Times New Roman" w:eastAsia="Times New Roman" w:hAnsi="Times New Roman" w:cs="Times New Roman"/>
        </w:rPr>
        <w:t>.</w:t>
      </w:r>
    </w:p>
    <w:p w14:paraId="000000A3" w14:textId="77777777" w:rsidR="003702A7"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Contentions of the Appellant</w:t>
      </w:r>
    </w:p>
    <w:p w14:paraId="000000A4" w14:textId="77777777" w:rsidR="003702A7"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The plaintiff argued that once the NCLAT decision which was upheld by the Supreme Court is reversed in the subsequent judgement, then the order passed by the NCLT for initiation of Corporate Insolvency </w:t>
      </w:r>
      <w:r>
        <w:rPr>
          <w:rFonts w:ascii="Times New Roman" w:eastAsia="Times New Roman" w:hAnsi="Times New Roman" w:cs="Times New Roman"/>
        </w:rPr>
        <w:lastRenderedPageBreak/>
        <w:t>Resolution Process (CIRP) becomes bad in law. It was held that when an argument is set aside it will have retrospective effect and that NCLT also has no inherent jurisdiction.</w:t>
      </w:r>
    </w:p>
    <w:p w14:paraId="000000A5" w14:textId="77777777" w:rsidR="003702A7"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Judgement Cited</w:t>
      </w:r>
    </w:p>
    <w:p w14:paraId="000000A6" w14:textId="77777777" w:rsidR="003702A7" w:rsidRDefault="00000000">
      <w:pPr>
        <w:keepNext/>
        <w:keepLines/>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The Supreme Court's ruling in </w:t>
      </w:r>
      <w:hyperlink r:id="rId74">
        <w:r>
          <w:rPr>
            <w:rFonts w:ascii="Times New Roman" w:eastAsia="Times New Roman" w:hAnsi="Times New Roman" w:cs="Times New Roman"/>
            <w:b/>
            <w:color w:val="1155CC"/>
            <w:u w:val="single"/>
          </w:rPr>
          <w:t xml:space="preserve">Sri Budhia Swain v. Gopinath Deb &amp; </w:t>
        </w:r>
        <w:proofErr w:type="spellStart"/>
        <w:r>
          <w:rPr>
            <w:rFonts w:ascii="Times New Roman" w:eastAsia="Times New Roman" w:hAnsi="Times New Roman" w:cs="Times New Roman"/>
            <w:b/>
            <w:color w:val="1155CC"/>
            <w:u w:val="single"/>
          </w:rPr>
          <w:t>Ors</w:t>
        </w:r>
        <w:proofErr w:type="spellEnd"/>
      </w:hyperlink>
      <w:r>
        <w:rPr>
          <w:rFonts w:ascii="Times New Roman" w:eastAsia="Times New Roman" w:hAnsi="Times New Roman" w:cs="Times New Roman"/>
        </w:rPr>
        <w:t>.</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xml:space="preserve"> was cited in the present case where it was held that an order can be cancelled only under the following four instances:</w:t>
      </w:r>
    </w:p>
    <w:p w14:paraId="000000A7" w14:textId="77777777" w:rsidR="003702A7" w:rsidRDefault="00000000">
      <w:pPr>
        <w:widowControl w:val="0"/>
        <w:jc w:val="both"/>
        <w:rPr>
          <w:rFonts w:ascii="Times New Roman" w:eastAsia="Times New Roman" w:hAnsi="Times New Roman" w:cs="Times New Roman"/>
        </w:rPr>
      </w:pPr>
      <w:r>
        <w:rPr>
          <w:rFonts w:ascii="Times New Roman" w:eastAsia="Times New Roman" w:hAnsi="Times New Roman" w:cs="Times New Roman"/>
        </w:rPr>
        <w:t>1. The proceedings result in an order suffering from an inherent lack of jurisdiction and this lack of              jurisdiction is manifest.</w:t>
      </w:r>
    </w:p>
    <w:p w14:paraId="000000A8" w14:textId="77777777" w:rsidR="003702A7" w:rsidRDefault="00000000">
      <w:pPr>
        <w:widowControl w:val="0"/>
        <w:jc w:val="both"/>
        <w:rPr>
          <w:rFonts w:ascii="Times New Roman" w:eastAsia="Times New Roman" w:hAnsi="Times New Roman" w:cs="Times New Roman"/>
        </w:rPr>
      </w:pPr>
      <w:r>
        <w:rPr>
          <w:rFonts w:ascii="Times New Roman" w:eastAsia="Times New Roman" w:hAnsi="Times New Roman" w:cs="Times New Roman"/>
        </w:rPr>
        <w:t xml:space="preserve">2. There is fraud or </w:t>
      </w:r>
      <w:proofErr w:type="gramStart"/>
      <w:r>
        <w:rPr>
          <w:rFonts w:ascii="Times New Roman" w:eastAsia="Times New Roman" w:hAnsi="Times New Roman" w:cs="Times New Roman"/>
        </w:rPr>
        <w:t>collusion;</w:t>
      </w:r>
      <w:proofErr w:type="gramEnd"/>
    </w:p>
    <w:p w14:paraId="000000A9" w14:textId="77777777" w:rsidR="003702A7" w:rsidRDefault="00000000">
      <w:pPr>
        <w:widowControl w:val="0"/>
        <w:jc w:val="both"/>
        <w:rPr>
          <w:rFonts w:ascii="Times New Roman" w:eastAsia="Times New Roman" w:hAnsi="Times New Roman" w:cs="Times New Roman"/>
        </w:rPr>
      </w:pPr>
      <w:r>
        <w:rPr>
          <w:rFonts w:ascii="Times New Roman" w:eastAsia="Times New Roman" w:hAnsi="Times New Roman" w:cs="Times New Roman"/>
        </w:rPr>
        <w:t xml:space="preserve">3. There has been an error by the </w:t>
      </w:r>
      <w:proofErr w:type="gramStart"/>
      <w:r>
        <w:rPr>
          <w:rFonts w:ascii="Times New Roman" w:eastAsia="Times New Roman" w:hAnsi="Times New Roman" w:cs="Times New Roman"/>
        </w:rPr>
        <w:t>court;</w:t>
      </w:r>
      <w:proofErr w:type="gramEnd"/>
    </w:p>
    <w:p w14:paraId="000000AA" w14:textId="77777777" w:rsidR="003702A7" w:rsidRDefault="00000000">
      <w:pPr>
        <w:widowControl w:val="0"/>
        <w:jc w:val="both"/>
        <w:rPr>
          <w:rFonts w:ascii="Times New Roman" w:eastAsia="Times New Roman" w:hAnsi="Times New Roman" w:cs="Times New Roman"/>
        </w:rPr>
      </w:pPr>
      <w:r>
        <w:rPr>
          <w:rFonts w:ascii="Times New Roman" w:eastAsia="Times New Roman" w:hAnsi="Times New Roman" w:cs="Times New Roman"/>
        </w:rPr>
        <w:t>4. A judgement was rendered in ignorance of the fact that a necessary party had not been served at all or had died and the estate was not represented.</w:t>
      </w:r>
    </w:p>
    <w:p w14:paraId="000000AB" w14:textId="77777777" w:rsidR="003702A7" w:rsidRDefault="00000000">
      <w:pPr>
        <w:keepNext/>
        <w:keepLines/>
        <w:widowControl w:val="0"/>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The Bench concluded that in the present case, none of the four instances outlined in above mentioned case were satisfied since the appellants did not establish that the NCLT manifestly lacked inherent jurisdiction or that the order was acquired through fraud or collusion. </w:t>
      </w:r>
    </w:p>
    <w:p w14:paraId="000000AC" w14:textId="77777777" w:rsidR="003702A7"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Conclusion</w:t>
      </w:r>
    </w:p>
    <w:p w14:paraId="000000AD" w14:textId="77777777" w:rsidR="003702A7"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The Hon'ble NCLAT emphasised that the law as stated by the Apex Court shall be implemented by the subordinate courts and tribunals as of the day it was determined </w:t>
      </w:r>
      <w:proofErr w:type="gramStart"/>
      <w:r>
        <w:rPr>
          <w:rFonts w:ascii="Times New Roman" w:eastAsia="Times New Roman" w:hAnsi="Times New Roman" w:cs="Times New Roman"/>
        </w:rPr>
        <w:t>and  that</w:t>
      </w:r>
      <w:proofErr w:type="gramEnd"/>
      <w:r>
        <w:rPr>
          <w:rFonts w:ascii="Times New Roman" w:eastAsia="Times New Roman" w:hAnsi="Times New Roman" w:cs="Times New Roman"/>
        </w:rPr>
        <w:t xml:space="preserve"> any judgement that has reached finality based on the law in effect at the time, as well as any rights and liabilities decided in a prior judgement, would not be impacted by a subsequent judgement. </w:t>
      </w:r>
    </w:p>
    <w:p w14:paraId="000000AE" w14:textId="77777777" w:rsidR="003702A7" w:rsidRDefault="00000000">
      <w:pPr>
        <w:spacing w:before="240" w:after="240"/>
        <w:jc w:val="both"/>
        <w:rPr>
          <w:rFonts w:ascii="Times New Roman" w:eastAsia="Times New Roman" w:hAnsi="Times New Roman" w:cs="Times New Roman"/>
          <w:b/>
          <w:color w:val="0563C1"/>
          <w:u w:val="single"/>
        </w:rPr>
      </w:pPr>
      <w:r>
        <w:rPr>
          <w:rFonts w:ascii="Times New Roman" w:eastAsia="Times New Roman" w:hAnsi="Times New Roman" w:cs="Times New Roman"/>
          <w:b/>
        </w:rPr>
        <w:t>2.</w:t>
      </w:r>
      <w:r>
        <w:rPr>
          <w:rFonts w:ascii="Times New Roman" w:eastAsia="Times New Roman" w:hAnsi="Times New Roman" w:cs="Times New Roman"/>
        </w:rPr>
        <w:t xml:space="preserve"> </w:t>
      </w:r>
      <w:hyperlink r:id="rId75">
        <w:r>
          <w:rPr>
            <w:rFonts w:ascii="Times New Roman" w:eastAsia="Times New Roman" w:hAnsi="Times New Roman" w:cs="Times New Roman"/>
            <w:b/>
            <w:color w:val="0563C1"/>
            <w:u w:val="single"/>
          </w:rPr>
          <w:t>NCLAT Delhi rescinded liquidation order, giving additional opportunity for inviting resolution plans</w:t>
        </w:r>
      </w:hyperlink>
    </w:p>
    <w:p w14:paraId="000000AF"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In the case of</w:t>
      </w:r>
      <w:hyperlink r:id="rId76">
        <w:r>
          <w:rPr>
            <w:rFonts w:ascii="Times New Roman" w:eastAsia="Times New Roman" w:hAnsi="Times New Roman" w:cs="Times New Roman"/>
            <w:b/>
          </w:rPr>
          <w:t xml:space="preserve"> </w:t>
        </w:r>
      </w:hyperlink>
      <w:hyperlink r:id="rId77">
        <w:r>
          <w:rPr>
            <w:rFonts w:ascii="Times New Roman" w:eastAsia="Times New Roman" w:hAnsi="Times New Roman" w:cs="Times New Roman"/>
            <w:b/>
            <w:color w:val="0563C1"/>
            <w:u w:val="single"/>
          </w:rPr>
          <w:t xml:space="preserve">Nikhil Tandon v Sanjeev </w:t>
        </w:r>
        <w:proofErr w:type="spellStart"/>
        <w:r>
          <w:rPr>
            <w:rFonts w:ascii="Times New Roman" w:eastAsia="Times New Roman" w:hAnsi="Times New Roman" w:cs="Times New Roman"/>
            <w:b/>
            <w:color w:val="0563C1"/>
            <w:u w:val="single"/>
          </w:rPr>
          <w:t>Bindal</w:t>
        </w:r>
        <w:proofErr w:type="spellEnd"/>
        <w:r>
          <w:rPr>
            <w:rFonts w:ascii="Times New Roman" w:eastAsia="Times New Roman" w:hAnsi="Times New Roman" w:cs="Times New Roman"/>
            <w:b/>
            <w:color w:val="0563C1"/>
            <w:u w:val="single"/>
          </w:rPr>
          <w:t xml:space="preserve"> &amp; </w:t>
        </w:r>
        <w:proofErr w:type="spellStart"/>
        <w:r>
          <w:rPr>
            <w:rFonts w:ascii="Times New Roman" w:eastAsia="Times New Roman" w:hAnsi="Times New Roman" w:cs="Times New Roman"/>
            <w:b/>
            <w:color w:val="0563C1"/>
            <w:u w:val="single"/>
          </w:rPr>
          <w:t>ors</w:t>
        </w:r>
        <w:proofErr w:type="spellEnd"/>
      </w:hyperlink>
      <w:r>
        <w:rPr>
          <w:rFonts w:ascii="Times New Roman" w:eastAsia="Times New Roman" w:hAnsi="Times New Roman" w:cs="Times New Roman"/>
        </w:rPr>
        <w:t>,</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the Principal Bench of the NCLAT comprising  of Justice Ashok Bhushan and Mr. Brun Mitra cancelled a winding-up order of the debtor company and gave an additional opportunity for the Committee of Creditors (CoC) and the Resolution Professional to check whether there may be a resolution plan to revive the debtor company.</w:t>
      </w:r>
    </w:p>
    <w:p w14:paraId="000000B0" w14:textId="77777777" w:rsidR="003702A7" w:rsidRDefault="003702A7">
      <w:pPr>
        <w:jc w:val="both"/>
        <w:rPr>
          <w:rFonts w:ascii="Times New Roman" w:eastAsia="Times New Roman" w:hAnsi="Times New Roman" w:cs="Times New Roman"/>
          <w:b/>
        </w:rPr>
      </w:pPr>
    </w:p>
    <w:p w14:paraId="000000B1" w14:textId="77777777" w:rsidR="003702A7"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Facts of The Case </w:t>
      </w:r>
    </w:p>
    <w:p w14:paraId="000000B2" w14:textId="77777777" w:rsidR="003702A7" w:rsidRDefault="00000000">
      <w:pPr>
        <w:numPr>
          <w:ilvl w:val="0"/>
          <w:numId w:val="4"/>
        </w:numPr>
        <w:jc w:val="both"/>
        <w:rPr>
          <w:rFonts w:ascii="Calibri" w:eastAsia="Calibri" w:hAnsi="Calibri" w:cs="Calibri"/>
          <w:sz w:val="24"/>
          <w:szCs w:val="24"/>
        </w:rPr>
      </w:pPr>
      <w:r>
        <w:rPr>
          <w:rFonts w:ascii="Times New Roman" w:eastAsia="Times New Roman" w:hAnsi="Times New Roman" w:cs="Times New Roman"/>
        </w:rPr>
        <w:t>A petition was filed by the Small Industries Development Bank of India (SIDBI) under</w:t>
      </w:r>
      <w:hyperlink r:id="rId78">
        <w:r>
          <w:rPr>
            <w:rFonts w:ascii="Times New Roman" w:eastAsia="Times New Roman" w:hAnsi="Times New Roman" w:cs="Times New Roman"/>
          </w:rPr>
          <w:t xml:space="preserve"> </w:t>
        </w:r>
      </w:hyperlink>
      <w:hyperlink r:id="rId79">
        <w:r>
          <w:rPr>
            <w:rFonts w:ascii="Times New Roman" w:eastAsia="Times New Roman" w:hAnsi="Times New Roman" w:cs="Times New Roman"/>
            <w:color w:val="0563C1"/>
            <w:u w:val="single"/>
          </w:rPr>
          <w:t>Section 7 of the Insolvency and Bankruptcy Code, 2016,</w:t>
        </w:r>
      </w:hyperlink>
      <w:r>
        <w:rPr>
          <w:rFonts w:ascii="Times New Roman" w:eastAsia="Times New Roman" w:hAnsi="Times New Roman" w:cs="Times New Roman"/>
        </w:rPr>
        <w:t xml:space="preserve"> for the enforcement of Corporate Insolvency Resolution Process (CIRP) against the Debtor company, and the Debtor company was admitted to the same.</w:t>
      </w:r>
    </w:p>
    <w:p w14:paraId="000000B3" w14:textId="07DDD83F" w:rsidR="003702A7" w:rsidRDefault="00000000">
      <w:pPr>
        <w:numPr>
          <w:ilvl w:val="0"/>
          <w:numId w:val="4"/>
        </w:numPr>
        <w:jc w:val="both"/>
        <w:rPr>
          <w:rFonts w:ascii="Calibri" w:eastAsia="Calibri" w:hAnsi="Calibri" w:cs="Calibri"/>
          <w:sz w:val="24"/>
          <w:szCs w:val="24"/>
        </w:rPr>
      </w:pPr>
      <w:r>
        <w:rPr>
          <w:rFonts w:ascii="Times New Roman" w:eastAsia="Times New Roman" w:hAnsi="Times New Roman" w:cs="Times New Roman"/>
        </w:rPr>
        <w:t>At the 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meeting of the CoC, it was decided to liquidate the operation of the debtor company.</w:t>
      </w:r>
    </w:p>
    <w:p w14:paraId="000000B4" w14:textId="77777777" w:rsidR="003702A7" w:rsidRDefault="00000000">
      <w:pPr>
        <w:numPr>
          <w:ilvl w:val="0"/>
          <w:numId w:val="4"/>
        </w:numPr>
        <w:jc w:val="both"/>
        <w:rPr>
          <w:rFonts w:ascii="Calibri" w:eastAsia="Calibri" w:hAnsi="Calibri" w:cs="Calibri"/>
          <w:sz w:val="24"/>
          <w:szCs w:val="24"/>
        </w:rPr>
      </w:pPr>
      <w:r>
        <w:rPr>
          <w:rFonts w:ascii="Times New Roman" w:eastAsia="Times New Roman" w:hAnsi="Times New Roman" w:cs="Times New Roman"/>
        </w:rPr>
        <w:t>During the 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meeting of the CoC, the suspended director of the debtor company submitted a resolution plan before CoC claiming to be an MSME and hence eligible to submit a plan.</w:t>
      </w:r>
    </w:p>
    <w:p w14:paraId="000000B5" w14:textId="77777777" w:rsidR="003702A7"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lastRenderedPageBreak/>
        <w:t xml:space="preserve">In the Agenda Item No. 12, in the 6th meeting, the CoC and Resolution Professional advised the Appellant to file Resolution Plan by August 14, 2020. </w:t>
      </w:r>
    </w:p>
    <w:p w14:paraId="000000B6" w14:textId="77777777" w:rsidR="003702A7" w:rsidRDefault="00000000">
      <w:pPr>
        <w:numPr>
          <w:ilvl w:val="0"/>
          <w:numId w:val="4"/>
        </w:numPr>
        <w:jc w:val="both"/>
      </w:pPr>
      <w:r>
        <w:rPr>
          <w:rFonts w:ascii="Times New Roman" w:eastAsia="Times New Roman" w:hAnsi="Times New Roman" w:cs="Times New Roman"/>
        </w:rPr>
        <w:t>In the 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meeting, it was found that the appellant is not an </w:t>
      </w:r>
      <w:proofErr w:type="gramStart"/>
      <w:r>
        <w:rPr>
          <w:rFonts w:ascii="Times New Roman" w:eastAsia="Times New Roman" w:hAnsi="Times New Roman" w:cs="Times New Roman"/>
        </w:rPr>
        <w:t>MSME</w:t>
      </w:r>
      <w:proofErr w:type="gramEnd"/>
      <w:r>
        <w:rPr>
          <w:rFonts w:ascii="Times New Roman" w:eastAsia="Times New Roman" w:hAnsi="Times New Roman" w:cs="Times New Roman"/>
        </w:rPr>
        <w:t xml:space="preserve"> and no Resolution Plan was invited. Therefore, CoC has decided that Appellants' plan cannot be deliberated as the Appellant was not entitled to submit the Resolution Plan.</w:t>
      </w:r>
    </w:p>
    <w:p w14:paraId="000000B7" w14:textId="77777777" w:rsidR="003702A7" w:rsidRDefault="00000000">
      <w:pPr>
        <w:numPr>
          <w:ilvl w:val="0"/>
          <w:numId w:val="4"/>
        </w:numPr>
        <w:jc w:val="both"/>
        <w:rPr>
          <w:rFonts w:ascii="Calibri" w:eastAsia="Calibri" w:hAnsi="Calibri" w:cs="Calibri"/>
          <w:sz w:val="24"/>
          <w:szCs w:val="24"/>
        </w:rPr>
      </w:pPr>
      <w:r>
        <w:rPr>
          <w:rFonts w:ascii="Times New Roman" w:eastAsia="Times New Roman" w:hAnsi="Times New Roman" w:cs="Times New Roman"/>
        </w:rPr>
        <w:t xml:space="preserve">Subsequently the resolution professional submitted a request for liquidation of the debtor company to the contracting authority and the latter approved the liquidation. The appellant appealed to NCLAT challenging the liquidation order. </w:t>
      </w:r>
    </w:p>
    <w:p w14:paraId="000000B8" w14:textId="77777777" w:rsidR="003702A7" w:rsidRDefault="003702A7">
      <w:pPr>
        <w:jc w:val="both"/>
        <w:rPr>
          <w:rFonts w:ascii="Times New Roman" w:eastAsia="Times New Roman" w:hAnsi="Times New Roman" w:cs="Times New Roman"/>
          <w:b/>
        </w:rPr>
      </w:pPr>
    </w:p>
    <w:p w14:paraId="000000B9" w14:textId="77777777" w:rsidR="003702A7"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Issue Raised </w:t>
      </w:r>
    </w:p>
    <w:p w14:paraId="000000BA" w14:textId="77777777" w:rsidR="003702A7" w:rsidRDefault="003702A7">
      <w:pPr>
        <w:jc w:val="both"/>
        <w:rPr>
          <w:rFonts w:ascii="Times New Roman" w:eastAsia="Times New Roman" w:hAnsi="Times New Roman" w:cs="Times New Roman"/>
        </w:rPr>
      </w:pPr>
    </w:p>
    <w:p w14:paraId="000000BB"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Whether the decision taken by the Committee of Creditors (CoC) to liquidate the debtor company is a sustainable decision?</w:t>
      </w:r>
    </w:p>
    <w:p w14:paraId="000000BC" w14:textId="77777777" w:rsidR="003702A7" w:rsidRDefault="003702A7">
      <w:pPr>
        <w:jc w:val="both"/>
        <w:rPr>
          <w:rFonts w:ascii="Times New Roman" w:eastAsia="Times New Roman" w:hAnsi="Times New Roman" w:cs="Times New Roman"/>
          <w:b/>
        </w:rPr>
      </w:pPr>
    </w:p>
    <w:p w14:paraId="000000BD" w14:textId="77777777" w:rsidR="003702A7" w:rsidRDefault="00000000">
      <w:pPr>
        <w:jc w:val="both"/>
        <w:rPr>
          <w:rFonts w:ascii="Times New Roman" w:eastAsia="Times New Roman" w:hAnsi="Times New Roman" w:cs="Times New Roman"/>
          <w:b/>
        </w:rPr>
      </w:pPr>
      <w:r>
        <w:rPr>
          <w:rFonts w:ascii="Times New Roman" w:eastAsia="Times New Roman" w:hAnsi="Times New Roman" w:cs="Times New Roman"/>
          <w:b/>
        </w:rPr>
        <w:t>NCLAT Decision</w:t>
      </w:r>
    </w:p>
    <w:p w14:paraId="000000BE" w14:textId="64F136AE" w:rsidR="003702A7" w:rsidRDefault="00000000">
      <w:pPr>
        <w:jc w:val="both"/>
        <w:rPr>
          <w:rFonts w:ascii="Times New Roman" w:eastAsia="Times New Roman" w:hAnsi="Times New Roman" w:cs="Times New Roman"/>
        </w:rPr>
      </w:pPr>
      <w:r>
        <w:rPr>
          <w:rFonts w:ascii="Times New Roman" w:eastAsia="Times New Roman" w:hAnsi="Times New Roman" w:cs="Times New Roman"/>
        </w:rPr>
        <w:t>It was decided in the 5th meeting of the CoC to liquidate the debtor company and in the 6th meeting, the appellants’ request to submit a resolution plan was approved. It cannot be said that the appellant was not invited to submit a Resolution Plan when the appellant was expressly allowed to do so at the CoC meeting.</w:t>
      </w:r>
    </w:p>
    <w:p w14:paraId="000000BF" w14:textId="77777777" w:rsidR="003702A7" w:rsidRDefault="003702A7">
      <w:pPr>
        <w:jc w:val="both"/>
        <w:rPr>
          <w:rFonts w:ascii="Times New Roman" w:eastAsia="Times New Roman" w:hAnsi="Times New Roman" w:cs="Times New Roman"/>
        </w:rPr>
      </w:pPr>
    </w:p>
    <w:p w14:paraId="000000C0" w14:textId="14CBADAB" w:rsidR="003702A7" w:rsidRDefault="00000000">
      <w:pPr>
        <w:jc w:val="both"/>
        <w:rPr>
          <w:rFonts w:ascii="Times New Roman" w:eastAsia="Times New Roman" w:hAnsi="Times New Roman" w:cs="Times New Roman"/>
        </w:rPr>
      </w:pPr>
      <w:r>
        <w:rPr>
          <w:rFonts w:ascii="Times New Roman" w:eastAsia="Times New Roman" w:hAnsi="Times New Roman" w:cs="Times New Roman"/>
        </w:rPr>
        <w:t>The IBA provides for special protection of MSME companies by inserting Section 240A. The non-acceptance of a debtor company as a registered MSME is a material irregularity that has been committed in the CIRP. The Bench also held that the CoC’s decision to liquidate the debtor company cannot be considered sacred. When the CoC allowed the appellant to file a resolution plan, the decision to liquidate the debtor company was not pursued.</w:t>
      </w:r>
    </w:p>
    <w:p w14:paraId="000000C1" w14:textId="77777777" w:rsidR="003702A7" w:rsidRDefault="003702A7">
      <w:pPr>
        <w:jc w:val="both"/>
        <w:rPr>
          <w:rFonts w:ascii="Times New Roman" w:eastAsia="Times New Roman" w:hAnsi="Times New Roman" w:cs="Times New Roman"/>
        </w:rPr>
      </w:pPr>
    </w:p>
    <w:p w14:paraId="000000C2" w14:textId="77777777" w:rsidR="003702A7" w:rsidRDefault="003702A7">
      <w:pPr>
        <w:jc w:val="both"/>
        <w:rPr>
          <w:rFonts w:ascii="Times New Roman" w:eastAsia="Times New Roman" w:hAnsi="Times New Roman" w:cs="Times New Roman"/>
          <w:b/>
        </w:rPr>
      </w:pPr>
    </w:p>
    <w:p w14:paraId="000000C3" w14:textId="77777777" w:rsidR="003702A7" w:rsidRDefault="00000000">
      <w:pPr>
        <w:jc w:val="both"/>
        <w:rPr>
          <w:rFonts w:ascii="Times New Roman" w:eastAsia="Times New Roman" w:hAnsi="Times New Roman" w:cs="Times New Roman"/>
          <w:b/>
        </w:rPr>
      </w:pPr>
      <w:r>
        <w:rPr>
          <w:rFonts w:ascii="Times New Roman" w:eastAsia="Times New Roman" w:hAnsi="Times New Roman" w:cs="Times New Roman"/>
          <w:b/>
        </w:rPr>
        <w:t>Conclusion</w:t>
      </w:r>
    </w:p>
    <w:p w14:paraId="000000C4" w14:textId="64D247A5" w:rsidR="003702A7" w:rsidRDefault="00000000">
      <w:pPr>
        <w:jc w:val="both"/>
        <w:rPr>
          <w:rFonts w:ascii="Times New Roman" w:eastAsia="Times New Roman" w:hAnsi="Times New Roman" w:cs="Times New Roman"/>
          <w:b/>
        </w:rPr>
      </w:pPr>
      <w:r>
        <w:rPr>
          <w:rFonts w:ascii="Times New Roman" w:eastAsia="Times New Roman" w:hAnsi="Times New Roman" w:cs="Times New Roman"/>
        </w:rPr>
        <w:t>The Tribunal held unequivocally that it was not passing judgement on the merits of the Resolution Plan that the Appellant previously filed or that may be offered in response to this ruling. The Court noted that the CoC must evaluate the Appellant's Resolution Plan in comparison with other Resolution Plans in accordance with the law. The Resolution Professional and the CoC were directed to complete the whole procedure stated above within 90 days of the order being passed and may also file an appropriate application with the Adjudicating Authority for any subsequent stages in CIRP, which may be considered in accordance with the provisions of the Code.</w:t>
      </w:r>
    </w:p>
    <w:p w14:paraId="000000C5" w14:textId="77777777" w:rsidR="003702A7" w:rsidRDefault="00000000">
      <w:pPr>
        <w:pStyle w:val="Heading1"/>
      </w:pPr>
      <w:bookmarkStart w:id="4" w:name="_heading=h.3znysh7" w:colFirst="0" w:colLast="0"/>
      <w:bookmarkEnd w:id="4"/>
      <w:r>
        <w:t>Income Tax Appellate Tribunal (ITAT) Judgments</w:t>
      </w:r>
    </w:p>
    <w:p w14:paraId="000000C6" w14:textId="77777777" w:rsidR="003702A7" w:rsidRDefault="00000000">
      <w:pPr>
        <w:spacing w:before="240" w:after="240"/>
        <w:ind w:left="360"/>
        <w:rPr>
          <w:rFonts w:ascii="Times New Roman" w:eastAsia="Times New Roman" w:hAnsi="Times New Roman" w:cs="Times New Roman"/>
          <w:b/>
        </w:rPr>
      </w:pPr>
      <w:r>
        <w:rPr>
          <w:rFonts w:ascii="Times New Roman" w:eastAsia="Times New Roman" w:hAnsi="Times New Roman" w:cs="Times New Roman"/>
          <w:b/>
        </w:rPr>
        <w:t>1.</w:t>
      </w:r>
      <w:r>
        <w:rPr>
          <w:rFonts w:ascii="Times New Roman" w:eastAsia="Times New Roman" w:hAnsi="Times New Roman" w:cs="Times New Roman"/>
          <w:sz w:val="14"/>
          <w:szCs w:val="14"/>
        </w:rPr>
        <w:t xml:space="preserve">      </w:t>
      </w:r>
      <w:hyperlink r:id="rId80" w:anchor=":~:text=ITAT%20Allows%20Deduction%20On%20Penalty%20Levied%20By%20SEBI%20For%20Shortfall%20In%20Margin%20Money,-Mariya%20Paliwala&amp;text=The%20Mumbai%20Bench%20of%20the,a%20shortfall%20in%20margin%20money.">
        <w:r>
          <w:rPr>
            <w:rFonts w:ascii="Times New Roman" w:eastAsia="Times New Roman" w:hAnsi="Times New Roman" w:cs="Times New Roman"/>
            <w:b/>
            <w:color w:val="1155CC"/>
            <w:u w:val="single"/>
          </w:rPr>
          <w:t>Penalty levied by SEBI for shortfall of margin money eligible for deduction under Section 37 :ITAT</w:t>
        </w:r>
      </w:hyperlink>
    </w:p>
    <w:p w14:paraId="000000C7" w14:textId="77777777" w:rsidR="003702A7"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In the case of </w:t>
      </w:r>
      <w:hyperlink r:id="rId81">
        <w:r>
          <w:rPr>
            <w:rFonts w:ascii="Times New Roman" w:eastAsia="Times New Roman" w:hAnsi="Times New Roman" w:cs="Times New Roman"/>
            <w:b/>
            <w:color w:val="1155CC"/>
            <w:u w:val="single"/>
          </w:rPr>
          <w:t>DJS Stock and Shares Ltd. v DCIT</w:t>
        </w:r>
      </w:hyperlink>
      <w:r>
        <w:rPr>
          <w:rFonts w:ascii="Times New Roman" w:eastAsia="Times New Roman" w:hAnsi="Times New Roman" w:cs="Times New Roman"/>
        </w:rPr>
        <w:t>, dated 22nd July, 2022, the Mumbai Bench of the Income Tax Appellate Tribunal (ITAT) comprising of B.R Baskaran (Accountant Member) observed that penalty levied by SEBI for the shortfall in margin money is eligible for Deduction under the</w:t>
      </w:r>
      <w:hyperlink r:id="rId82">
        <w:r>
          <w:rPr>
            <w:rFonts w:ascii="Times New Roman" w:eastAsia="Times New Roman" w:hAnsi="Times New Roman" w:cs="Times New Roman"/>
            <w:color w:val="1155CC"/>
            <w:u w:val="single"/>
          </w:rPr>
          <w:t xml:space="preserve"> Section 37 of the Income Tax Act</w:t>
        </w:r>
      </w:hyperlink>
      <w:r>
        <w:rPr>
          <w:rFonts w:ascii="Times New Roman" w:eastAsia="Times New Roman" w:hAnsi="Times New Roman" w:cs="Times New Roman"/>
          <w:color w:val="1155CC"/>
          <w:u w:val="single"/>
        </w:rPr>
        <w:t>,1995</w:t>
      </w:r>
      <w:r>
        <w:rPr>
          <w:rFonts w:ascii="Times New Roman" w:eastAsia="Times New Roman" w:hAnsi="Times New Roman" w:cs="Times New Roman"/>
        </w:rPr>
        <w:t>. The shortfall in margin money cannot be considered a penalty for violation of any other law falling under Section 37(1) of the Income Tax Act.</w:t>
      </w:r>
    </w:p>
    <w:p w14:paraId="000000C8" w14:textId="77777777" w:rsidR="003702A7"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lastRenderedPageBreak/>
        <w:t>Brief Facts</w:t>
      </w:r>
    </w:p>
    <w:p w14:paraId="000000C9" w14:textId="77777777" w:rsidR="003702A7" w:rsidRDefault="00000000">
      <w:pPr>
        <w:numPr>
          <w:ilvl w:val="0"/>
          <w:numId w:val="3"/>
        </w:numPr>
        <w:spacing w:before="240"/>
        <w:rPr>
          <w:rFonts w:ascii="Times New Roman" w:eastAsia="Times New Roman" w:hAnsi="Times New Roman" w:cs="Times New Roman"/>
        </w:rPr>
      </w:pPr>
      <w:r>
        <w:rPr>
          <w:rFonts w:ascii="Times New Roman" w:eastAsia="Times New Roman" w:hAnsi="Times New Roman" w:cs="Times New Roman"/>
        </w:rPr>
        <w:t>DJS Stock and Shares Ltd (Appellant Company) is engaged in the business of share broking and trading of shares and securities.</w:t>
      </w:r>
    </w:p>
    <w:p w14:paraId="000000CA" w14:textId="77777777" w:rsidR="003702A7" w:rsidRDefault="00000000">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During the year under consideration the </w:t>
      </w:r>
      <w:proofErr w:type="spellStart"/>
      <w:r>
        <w:rPr>
          <w:rFonts w:ascii="Times New Roman" w:eastAsia="Times New Roman" w:hAnsi="Times New Roman" w:cs="Times New Roman"/>
        </w:rPr>
        <w:t>Assessee</w:t>
      </w:r>
      <w:proofErr w:type="spellEnd"/>
      <w:r>
        <w:rPr>
          <w:rFonts w:ascii="Times New Roman" w:eastAsia="Times New Roman" w:hAnsi="Times New Roman" w:cs="Times New Roman"/>
        </w:rPr>
        <w:t xml:space="preserve"> Company paid an estimated sum of Rs 3,69,661 as a penalty to the stock exchange.</w:t>
      </w:r>
    </w:p>
    <w:p w14:paraId="000000CB" w14:textId="77777777" w:rsidR="003702A7" w:rsidRDefault="00000000">
      <w:pPr>
        <w:numPr>
          <w:ilvl w:val="0"/>
          <w:numId w:val="3"/>
        </w:numPr>
        <w:spacing w:after="240"/>
        <w:jc w:val="both"/>
        <w:rPr>
          <w:rFonts w:ascii="Times New Roman" w:eastAsia="Times New Roman" w:hAnsi="Times New Roman" w:cs="Times New Roman"/>
        </w:rPr>
      </w:pPr>
      <w:r>
        <w:rPr>
          <w:rFonts w:ascii="Times New Roman" w:eastAsia="Times New Roman" w:hAnsi="Times New Roman" w:cs="Times New Roman"/>
        </w:rPr>
        <w:t>The Income Tax Assessing Officer disallowed the claim by stating that the penalty is not allowable as a deduction.</w:t>
      </w:r>
    </w:p>
    <w:p w14:paraId="000000CC" w14:textId="77777777" w:rsidR="003702A7"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Issue Raised</w:t>
      </w:r>
    </w:p>
    <w:p w14:paraId="000000CD" w14:textId="77777777" w:rsidR="003702A7"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The issue raised here relates to the disallowance of the sum of Rs 3,69,661 being the penalty for maintaining short margins by the stock exchange.</w:t>
      </w:r>
    </w:p>
    <w:p w14:paraId="000000CE" w14:textId="77777777" w:rsidR="003702A7"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Contentions of appellant</w:t>
      </w:r>
    </w:p>
    <w:p w14:paraId="000000CF" w14:textId="77777777" w:rsidR="003702A7"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assessee</w:t>
      </w:r>
      <w:proofErr w:type="spellEnd"/>
      <w:r>
        <w:rPr>
          <w:rFonts w:ascii="Times New Roman" w:eastAsia="Times New Roman" w:hAnsi="Times New Roman" w:cs="Times New Roman"/>
        </w:rPr>
        <w:t xml:space="preserve"> held that the company was required to maintain margin money in the Stock Exchange. Whenever the margin money falls short the appellant company </w:t>
      </w:r>
      <w:proofErr w:type="gramStart"/>
      <w:r>
        <w:rPr>
          <w:rFonts w:ascii="Times New Roman" w:eastAsia="Times New Roman" w:hAnsi="Times New Roman" w:cs="Times New Roman"/>
        </w:rPr>
        <w:t>has to</w:t>
      </w:r>
      <w:proofErr w:type="gramEnd"/>
      <w:r>
        <w:rPr>
          <w:rFonts w:ascii="Times New Roman" w:eastAsia="Times New Roman" w:hAnsi="Times New Roman" w:cs="Times New Roman"/>
        </w:rPr>
        <w:t xml:space="preserve"> keep good on the same immediately otherwise the Stock Exchange will levy a penalty upon the </w:t>
      </w:r>
      <w:proofErr w:type="spellStart"/>
      <w:r>
        <w:rPr>
          <w:rFonts w:ascii="Times New Roman" w:eastAsia="Times New Roman" w:hAnsi="Times New Roman" w:cs="Times New Roman"/>
        </w:rPr>
        <w:t>assessee</w:t>
      </w:r>
      <w:proofErr w:type="spellEnd"/>
      <w:r>
        <w:rPr>
          <w:rFonts w:ascii="Times New Roman" w:eastAsia="Times New Roman" w:hAnsi="Times New Roman" w:cs="Times New Roman"/>
        </w:rPr>
        <w:t>. The Stock Exchange may levy a penalty for the shortfall in margin money for the practice of disciplining its members. Such a penalty is levied as per the terms and conditions entered with the stock exchange by its members.</w:t>
      </w:r>
    </w:p>
    <w:p w14:paraId="000000D0" w14:textId="77777777" w:rsidR="003702A7"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Judgment</w:t>
      </w:r>
    </w:p>
    <w:p w14:paraId="000000D1" w14:textId="77777777" w:rsidR="003702A7"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The ITAT allowed the appeal of the </w:t>
      </w:r>
      <w:proofErr w:type="spellStart"/>
      <w:r>
        <w:rPr>
          <w:rFonts w:ascii="Times New Roman" w:eastAsia="Times New Roman" w:hAnsi="Times New Roman" w:cs="Times New Roman"/>
        </w:rPr>
        <w:t>assessee</w:t>
      </w:r>
      <w:proofErr w:type="spellEnd"/>
      <w:r>
        <w:rPr>
          <w:rFonts w:ascii="Times New Roman" w:eastAsia="Times New Roman" w:hAnsi="Times New Roman" w:cs="Times New Roman"/>
        </w:rPr>
        <w:t xml:space="preserve"> by quashing the order of the </w:t>
      </w:r>
      <w:r>
        <w:rPr>
          <w:rFonts w:ascii="Times New Roman" w:eastAsia="Times New Roman" w:hAnsi="Times New Roman" w:cs="Times New Roman"/>
          <w:color w:val="202124"/>
          <w:highlight w:val="white"/>
        </w:rPr>
        <w:t>Commissioner of Income Tax (Appeals) [</w:t>
      </w:r>
      <w:r>
        <w:rPr>
          <w:rFonts w:ascii="Times New Roman" w:eastAsia="Times New Roman" w:hAnsi="Times New Roman" w:cs="Times New Roman"/>
        </w:rPr>
        <w:t>CIT(A)] and directed the assessing officer to delete the disallowance.</w:t>
      </w:r>
    </w:p>
    <w:p w14:paraId="000000D2" w14:textId="77777777" w:rsidR="003702A7"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Conclusion</w:t>
      </w:r>
    </w:p>
    <w:p w14:paraId="000000D3" w14:textId="72136C91" w:rsidR="003702A7"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rPr>
        <w:t xml:space="preserve"> The SEBI charges a penalty upon the shortfall in the margin money and not for infraction of law. Accordingly, the said payment cannot be held as a penalty for violation of law under Section 37(1) of the Act. In a similar case of</w:t>
      </w:r>
      <w:r>
        <w:rPr>
          <w:rFonts w:ascii="Times New Roman" w:eastAsia="Times New Roman" w:hAnsi="Times New Roman" w:cs="Times New Roman"/>
          <w:b/>
        </w:rPr>
        <w:t xml:space="preserve"> Stock &amp; Bond Trading Co</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it was held that the amount is allowable as a deduction. Hence, the appeal filed by the </w:t>
      </w:r>
      <w:proofErr w:type="spellStart"/>
      <w:r>
        <w:rPr>
          <w:rFonts w:ascii="Times New Roman" w:eastAsia="Times New Roman" w:hAnsi="Times New Roman" w:cs="Times New Roman"/>
        </w:rPr>
        <w:t>assessee</w:t>
      </w:r>
      <w:proofErr w:type="spellEnd"/>
      <w:r>
        <w:rPr>
          <w:rFonts w:ascii="Times New Roman" w:eastAsia="Times New Roman" w:hAnsi="Times New Roman" w:cs="Times New Roman"/>
        </w:rPr>
        <w:t xml:space="preserve"> is allowed.</w:t>
      </w:r>
    </w:p>
    <w:p w14:paraId="000000D4" w14:textId="77777777" w:rsidR="003702A7"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sz w:val="14"/>
          <w:szCs w:val="14"/>
        </w:rPr>
        <w:t xml:space="preserve"> </w:t>
      </w:r>
      <w:hyperlink r:id="rId83">
        <w:r>
          <w:rPr>
            <w:rFonts w:ascii="Times New Roman" w:eastAsia="Times New Roman" w:hAnsi="Times New Roman" w:cs="Times New Roman"/>
            <w:b/>
            <w:color w:val="1155CC"/>
            <w:u w:val="single"/>
          </w:rPr>
          <w:t>If no incriminating material is found during search, then no addition can be made under sections 153A and 153C of ITA</w:t>
        </w:r>
      </w:hyperlink>
      <w:r>
        <w:rPr>
          <w:rFonts w:ascii="Times New Roman" w:eastAsia="Times New Roman" w:hAnsi="Times New Roman" w:cs="Times New Roman"/>
          <w:b/>
        </w:rPr>
        <w:t>: Delhi High Court</w:t>
      </w:r>
    </w:p>
    <w:p w14:paraId="000000D5" w14:textId="77777777" w:rsidR="003702A7"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In the case of </w:t>
      </w:r>
      <w:r>
        <w:rPr>
          <w:rFonts w:ascii="Times New Roman" w:eastAsia="Times New Roman" w:hAnsi="Times New Roman" w:cs="Times New Roman"/>
          <w:b/>
          <w:color w:val="1155CC"/>
          <w:u w:val="single"/>
        </w:rPr>
        <w:t xml:space="preserve">PCIT v. </w:t>
      </w:r>
      <w:proofErr w:type="spellStart"/>
      <w:r>
        <w:rPr>
          <w:rFonts w:ascii="Times New Roman" w:eastAsia="Times New Roman" w:hAnsi="Times New Roman" w:cs="Times New Roman"/>
          <w:b/>
          <w:color w:val="1155CC"/>
          <w:u w:val="single"/>
        </w:rPr>
        <w:t>Mamta</w:t>
      </w:r>
      <w:proofErr w:type="spellEnd"/>
      <w:r>
        <w:rPr>
          <w:rFonts w:ascii="Times New Roman" w:eastAsia="Times New Roman" w:hAnsi="Times New Roman" w:cs="Times New Roman"/>
          <w:b/>
          <w:color w:val="1155CC"/>
          <w:u w:val="single"/>
        </w:rPr>
        <w:t xml:space="preserve"> Agarwal</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xml:space="preserve"> dated 14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July 2022, a Delhi High Court bench consisting of Justice Manmohan and Justice </w:t>
      </w:r>
      <w:proofErr w:type="spellStart"/>
      <w:r>
        <w:rPr>
          <w:rFonts w:ascii="Times New Roman" w:eastAsia="Times New Roman" w:hAnsi="Times New Roman" w:cs="Times New Roman"/>
        </w:rPr>
        <w:t>Manmeet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Preetam</w:t>
      </w:r>
      <w:proofErr w:type="spellEnd"/>
      <w:r>
        <w:rPr>
          <w:rFonts w:ascii="Times New Roman" w:eastAsia="Times New Roman" w:hAnsi="Times New Roman" w:cs="Times New Roman"/>
        </w:rPr>
        <w:t xml:space="preserve"> Singh Arora held that if no incriminating material is found </w:t>
      </w:r>
      <w:proofErr w:type="gramStart"/>
      <w:r>
        <w:rPr>
          <w:rFonts w:ascii="Times New Roman" w:eastAsia="Times New Roman" w:hAnsi="Times New Roman" w:cs="Times New Roman"/>
        </w:rPr>
        <w:t>during the course of</w:t>
      </w:r>
      <w:proofErr w:type="gramEnd"/>
      <w:r>
        <w:rPr>
          <w:rFonts w:ascii="Times New Roman" w:eastAsia="Times New Roman" w:hAnsi="Times New Roman" w:cs="Times New Roman"/>
        </w:rPr>
        <w:t xml:space="preserve"> the search, then no addition can be made in the assessment under Sections 153A and 153C of the Income Tax Act,1995 (ITA).</w:t>
      </w:r>
    </w:p>
    <w:p w14:paraId="000000D6" w14:textId="77777777" w:rsidR="003702A7"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Facts in Brief</w:t>
      </w:r>
    </w:p>
    <w:p w14:paraId="000000D7" w14:textId="6E38D888" w:rsidR="003702A7" w:rsidRDefault="00000000">
      <w:pPr>
        <w:numPr>
          <w:ilvl w:val="0"/>
          <w:numId w:val="6"/>
        </w:numPr>
        <w:spacing w:before="240"/>
        <w:jc w:val="both"/>
        <w:rPr>
          <w:rFonts w:ascii="Times New Roman" w:eastAsia="Times New Roman" w:hAnsi="Times New Roman" w:cs="Times New Roman"/>
        </w:rPr>
      </w:pPr>
      <w:r>
        <w:rPr>
          <w:rFonts w:ascii="Times New Roman" w:eastAsia="Times New Roman" w:hAnsi="Times New Roman" w:cs="Times New Roman"/>
        </w:rPr>
        <w:lastRenderedPageBreak/>
        <w:t xml:space="preserve">The Investigation Wing of the Income Tax Department carried out a search operation against M/s K. R Pulp &amp; Papers ltd under Section 132(1) of the ITA. The said company was managed by Shri </w:t>
      </w:r>
      <w:proofErr w:type="spellStart"/>
      <w:r>
        <w:rPr>
          <w:rFonts w:ascii="Times New Roman" w:eastAsia="Times New Roman" w:hAnsi="Times New Roman" w:cs="Times New Roman"/>
        </w:rPr>
        <w:t>Madho</w:t>
      </w:r>
      <w:proofErr w:type="spellEnd"/>
      <w:r>
        <w:rPr>
          <w:rFonts w:ascii="Times New Roman" w:eastAsia="Times New Roman" w:hAnsi="Times New Roman" w:cs="Times New Roman"/>
        </w:rPr>
        <w:t xml:space="preserve"> Gopal Agarwal and Shri Gopal Agarwal.</w:t>
      </w:r>
    </w:p>
    <w:p w14:paraId="000000D8" w14:textId="77777777" w:rsidR="003702A7" w:rsidRDefault="00000000">
      <w:pPr>
        <w:numPr>
          <w:ilvl w:val="0"/>
          <w:numId w:val="6"/>
        </w:numPr>
        <w:jc w:val="both"/>
        <w:rPr>
          <w:rFonts w:ascii="Times New Roman" w:eastAsia="Times New Roman" w:hAnsi="Times New Roman" w:cs="Times New Roman"/>
        </w:rPr>
      </w:pPr>
      <w:r>
        <w:rPr>
          <w:rFonts w:ascii="Times New Roman" w:eastAsia="Times New Roman" w:hAnsi="Times New Roman" w:cs="Times New Roman"/>
        </w:rPr>
        <w:t xml:space="preserve">The statements of Shri </w:t>
      </w:r>
      <w:proofErr w:type="spellStart"/>
      <w:r>
        <w:rPr>
          <w:rFonts w:ascii="Times New Roman" w:eastAsia="Times New Roman" w:hAnsi="Times New Roman" w:cs="Times New Roman"/>
        </w:rPr>
        <w:t>Madho</w:t>
      </w:r>
      <w:proofErr w:type="spellEnd"/>
      <w:r>
        <w:rPr>
          <w:rFonts w:ascii="Times New Roman" w:eastAsia="Times New Roman" w:hAnsi="Times New Roman" w:cs="Times New Roman"/>
        </w:rPr>
        <w:t xml:space="preserve"> Gopal Agarwal and Shri Gopal Agarwal were recorded during a post search inquiry.</w:t>
      </w:r>
    </w:p>
    <w:p w14:paraId="000000D9" w14:textId="77777777" w:rsidR="003702A7" w:rsidRDefault="00000000">
      <w:pPr>
        <w:numPr>
          <w:ilvl w:val="0"/>
          <w:numId w:val="6"/>
        </w:numPr>
        <w:jc w:val="both"/>
        <w:rPr>
          <w:rFonts w:ascii="Times New Roman" w:eastAsia="Times New Roman" w:hAnsi="Times New Roman" w:cs="Times New Roman"/>
        </w:rPr>
      </w:pPr>
      <w:r>
        <w:rPr>
          <w:rFonts w:ascii="Times New Roman" w:eastAsia="Times New Roman" w:hAnsi="Times New Roman" w:cs="Times New Roman"/>
        </w:rPr>
        <w:t xml:space="preserve">A notice under Section 153A of the ITA was issued by the Assessing Officer and in response to that the </w:t>
      </w:r>
      <w:proofErr w:type="spellStart"/>
      <w:r>
        <w:rPr>
          <w:rFonts w:ascii="Times New Roman" w:eastAsia="Times New Roman" w:hAnsi="Times New Roman" w:cs="Times New Roman"/>
        </w:rPr>
        <w:t>assessee</w:t>
      </w:r>
      <w:proofErr w:type="spellEnd"/>
      <w:r>
        <w:rPr>
          <w:rFonts w:ascii="Times New Roman" w:eastAsia="Times New Roman" w:hAnsi="Times New Roman" w:cs="Times New Roman"/>
        </w:rPr>
        <w:t xml:space="preserve"> filed Income Tax Return containing an income of Rs 5,40,550.</w:t>
      </w:r>
    </w:p>
    <w:p w14:paraId="000000DA" w14:textId="77777777" w:rsidR="003702A7" w:rsidRDefault="00000000">
      <w:pPr>
        <w:numPr>
          <w:ilvl w:val="0"/>
          <w:numId w:val="6"/>
        </w:numPr>
        <w:jc w:val="both"/>
        <w:rPr>
          <w:rFonts w:ascii="Times New Roman" w:eastAsia="Times New Roman" w:hAnsi="Times New Roman" w:cs="Times New Roman"/>
        </w:rPr>
      </w:pPr>
      <w:r>
        <w:rPr>
          <w:rFonts w:ascii="Times New Roman" w:eastAsia="Times New Roman" w:hAnsi="Times New Roman" w:cs="Times New Roman"/>
        </w:rPr>
        <w:t xml:space="preserve">The Assessing Officer after reference to the recovered documents during the raid, made additions to the income of </w:t>
      </w:r>
      <w:proofErr w:type="spellStart"/>
      <w:r>
        <w:rPr>
          <w:rFonts w:ascii="Times New Roman" w:eastAsia="Times New Roman" w:hAnsi="Times New Roman" w:cs="Times New Roman"/>
        </w:rPr>
        <w:t>assessee</w:t>
      </w:r>
      <w:proofErr w:type="spellEnd"/>
      <w:r>
        <w:rPr>
          <w:rFonts w:ascii="Times New Roman" w:eastAsia="Times New Roman" w:hAnsi="Times New Roman" w:cs="Times New Roman"/>
        </w:rPr>
        <w:t xml:space="preserve"> under Section 69B and Section 68 of the ITA.</w:t>
      </w:r>
    </w:p>
    <w:p w14:paraId="000000DB" w14:textId="77777777" w:rsidR="003702A7" w:rsidRDefault="00000000">
      <w:pPr>
        <w:numPr>
          <w:ilvl w:val="0"/>
          <w:numId w:val="6"/>
        </w:numPr>
        <w:spacing w:after="240"/>
        <w:jc w:val="both"/>
        <w:rPr>
          <w:rFonts w:ascii="Times New Roman" w:eastAsia="Times New Roman" w:hAnsi="Times New Roman" w:cs="Times New Roman"/>
        </w:rPr>
      </w:pPr>
      <w:r>
        <w:rPr>
          <w:rFonts w:ascii="Times New Roman" w:eastAsia="Times New Roman" w:hAnsi="Times New Roman" w:cs="Times New Roman"/>
        </w:rPr>
        <w:t xml:space="preserve">Aggrieved by this, the </w:t>
      </w:r>
      <w:proofErr w:type="spellStart"/>
      <w:r>
        <w:rPr>
          <w:rFonts w:ascii="Times New Roman" w:eastAsia="Times New Roman" w:hAnsi="Times New Roman" w:cs="Times New Roman"/>
        </w:rPr>
        <w:t>assessee</w:t>
      </w:r>
      <w:proofErr w:type="spellEnd"/>
      <w:r>
        <w:rPr>
          <w:rFonts w:ascii="Times New Roman" w:eastAsia="Times New Roman" w:hAnsi="Times New Roman" w:cs="Times New Roman"/>
        </w:rPr>
        <w:t xml:space="preserve"> filed an appeal before the Commissioner of Income Tax.</w:t>
      </w:r>
    </w:p>
    <w:p w14:paraId="000000DC" w14:textId="77777777" w:rsidR="003702A7"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Matter in question</w:t>
      </w:r>
    </w:p>
    <w:p w14:paraId="000000DD" w14:textId="77777777" w:rsidR="003702A7"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Whether the statement under </w:t>
      </w:r>
      <w:hyperlink r:id="rId84">
        <w:r>
          <w:rPr>
            <w:rFonts w:ascii="Times New Roman" w:eastAsia="Times New Roman" w:hAnsi="Times New Roman" w:cs="Times New Roman"/>
            <w:color w:val="1155CC"/>
            <w:u w:val="single"/>
          </w:rPr>
          <w:t xml:space="preserve">Section 132(4) </w:t>
        </w:r>
      </w:hyperlink>
      <w:r>
        <w:rPr>
          <w:rFonts w:ascii="Times New Roman" w:eastAsia="Times New Roman" w:hAnsi="Times New Roman" w:cs="Times New Roman"/>
        </w:rPr>
        <w:t>constitutes incriminating material for carrying out an assessment under</w:t>
      </w:r>
      <w:hyperlink r:id="rId85">
        <w:r>
          <w:rPr>
            <w:rFonts w:ascii="Times New Roman" w:eastAsia="Times New Roman" w:hAnsi="Times New Roman" w:cs="Times New Roman"/>
            <w:color w:val="1155CC"/>
            <w:u w:val="single"/>
          </w:rPr>
          <w:t xml:space="preserve"> Section 153(A)</w:t>
        </w:r>
      </w:hyperlink>
      <w:r>
        <w:rPr>
          <w:rFonts w:ascii="Times New Roman" w:eastAsia="Times New Roman" w:hAnsi="Times New Roman" w:cs="Times New Roman"/>
        </w:rPr>
        <w:t xml:space="preserve"> of the Act</w:t>
      </w:r>
    </w:p>
    <w:p w14:paraId="000000DE" w14:textId="77777777" w:rsidR="003702A7"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Contentions of appellant</w:t>
      </w:r>
    </w:p>
    <w:p w14:paraId="000000DF" w14:textId="15D7BBF1" w:rsidR="003702A7"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The counsel for the appellant stated that vide order on 17</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July 2018, the </w:t>
      </w:r>
      <w:r>
        <w:rPr>
          <w:rFonts w:ascii="Times New Roman" w:eastAsia="Times New Roman" w:hAnsi="Times New Roman" w:cs="Times New Roman"/>
          <w:color w:val="202124"/>
          <w:highlight w:val="white"/>
        </w:rPr>
        <w:t>Commissioner of Income Tax (Appeals) [</w:t>
      </w:r>
      <w:r>
        <w:rPr>
          <w:rFonts w:ascii="Times New Roman" w:eastAsia="Times New Roman" w:hAnsi="Times New Roman" w:cs="Times New Roman"/>
        </w:rPr>
        <w:t xml:space="preserve">CIT(A)] allowed the appeal of the </w:t>
      </w:r>
      <w:proofErr w:type="spellStart"/>
      <w:r>
        <w:rPr>
          <w:rFonts w:ascii="Times New Roman" w:eastAsia="Times New Roman" w:hAnsi="Times New Roman" w:cs="Times New Roman"/>
        </w:rPr>
        <w:t>assessee</w:t>
      </w:r>
      <w:proofErr w:type="spellEnd"/>
      <w:r>
        <w:rPr>
          <w:rFonts w:ascii="Times New Roman" w:eastAsia="Times New Roman" w:hAnsi="Times New Roman" w:cs="Times New Roman"/>
        </w:rPr>
        <w:t>. It deleted the additions and held that in the absence of any incriminating material, the Assessing Officer cannot reappraise and review the already settled and completed assessment issues before the search under Section 153A of the Act.</w:t>
      </w:r>
    </w:p>
    <w:p w14:paraId="000000E0" w14:textId="77777777" w:rsidR="003702A7"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Judgment</w:t>
      </w:r>
    </w:p>
    <w:p w14:paraId="000000E1" w14:textId="77777777" w:rsidR="003702A7"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The ITAT concluded that additions made by the Assessing Officer for the assessment year was not based on any incriminating material. The ITAT observed that the original return of income was filed by the </w:t>
      </w:r>
      <w:proofErr w:type="spellStart"/>
      <w:r>
        <w:rPr>
          <w:rFonts w:ascii="Times New Roman" w:eastAsia="Times New Roman" w:hAnsi="Times New Roman" w:cs="Times New Roman"/>
        </w:rPr>
        <w:t>assessee</w:t>
      </w:r>
      <w:proofErr w:type="spellEnd"/>
      <w:r>
        <w:rPr>
          <w:rFonts w:ascii="Times New Roman" w:eastAsia="Times New Roman" w:hAnsi="Times New Roman" w:cs="Times New Roman"/>
        </w:rPr>
        <w:t xml:space="preserve"> for the assessment year under appeal. The ITAT therefore, held that any additions over and above the earlier assessed income could not be made in the absence of any incriminating material found </w:t>
      </w:r>
      <w:proofErr w:type="gramStart"/>
      <w:r>
        <w:rPr>
          <w:rFonts w:ascii="Times New Roman" w:eastAsia="Times New Roman" w:hAnsi="Times New Roman" w:cs="Times New Roman"/>
        </w:rPr>
        <w:t>during the course of</w:t>
      </w:r>
      <w:proofErr w:type="gramEnd"/>
      <w:r>
        <w:rPr>
          <w:rFonts w:ascii="Times New Roman" w:eastAsia="Times New Roman" w:hAnsi="Times New Roman" w:cs="Times New Roman"/>
        </w:rPr>
        <w:t xml:space="preserve"> search. The appeal was accordingly dismissed with reference to a group of cases including</w:t>
      </w:r>
      <w:r>
        <w:rPr>
          <w:rFonts w:ascii="Times New Roman" w:eastAsia="Times New Roman" w:hAnsi="Times New Roman" w:cs="Times New Roman"/>
          <w:b/>
        </w:rPr>
        <w:t xml:space="preserve"> ACIT v. </w:t>
      </w:r>
      <w:proofErr w:type="spellStart"/>
      <w:r>
        <w:rPr>
          <w:rFonts w:ascii="Times New Roman" w:eastAsia="Times New Roman" w:hAnsi="Times New Roman" w:cs="Times New Roman"/>
          <w:b/>
        </w:rPr>
        <w:t>Madho</w:t>
      </w:r>
      <w:proofErr w:type="spellEnd"/>
      <w:r>
        <w:rPr>
          <w:rFonts w:ascii="Times New Roman" w:eastAsia="Times New Roman" w:hAnsi="Times New Roman" w:cs="Times New Roman"/>
          <w:b/>
        </w:rPr>
        <w:t xml:space="preserve"> Gopal Agarwal</w:t>
      </w:r>
      <w:r>
        <w:rPr>
          <w:rFonts w:ascii="Times New Roman" w:eastAsia="Times New Roman" w:hAnsi="Times New Roman" w:cs="Times New Roman"/>
          <w:b/>
          <w:vertAlign w:val="superscript"/>
        </w:rPr>
        <w:footnoteReference w:id="17"/>
      </w:r>
      <w:r>
        <w:rPr>
          <w:rFonts w:ascii="Times New Roman" w:eastAsia="Times New Roman" w:hAnsi="Times New Roman" w:cs="Times New Roman"/>
          <w:b/>
        </w:rPr>
        <w:t xml:space="preserve">  </w:t>
      </w:r>
      <w:r>
        <w:rPr>
          <w:rFonts w:ascii="Times New Roman" w:eastAsia="Times New Roman" w:hAnsi="Times New Roman" w:cs="Times New Roman"/>
        </w:rPr>
        <w:t>and</w:t>
      </w:r>
      <w:r>
        <w:rPr>
          <w:rFonts w:ascii="Times New Roman" w:eastAsia="Times New Roman" w:hAnsi="Times New Roman" w:cs="Times New Roman"/>
          <w:b/>
        </w:rPr>
        <w:t xml:space="preserve"> ACIT v. </w:t>
      </w:r>
      <w:proofErr w:type="spellStart"/>
      <w:r>
        <w:rPr>
          <w:rFonts w:ascii="Times New Roman" w:eastAsia="Times New Roman" w:hAnsi="Times New Roman" w:cs="Times New Roman"/>
          <w:b/>
        </w:rPr>
        <w:t>Kapis</w:t>
      </w:r>
      <w:proofErr w:type="spellEnd"/>
      <w:r>
        <w:rPr>
          <w:rFonts w:ascii="Times New Roman" w:eastAsia="Times New Roman" w:hAnsi="Times New Roman" w:cs="Times New Roman"/>
          <w:b/>
        </w:rPr>
        <w:t xml:space="preserve"> Impex LLP</w:t>
      </w:r>
      <w:r>
        <w:rPr>
          <w:rFonts w:ascii="Times New Roman" w:eastAsia="Times New Roman" w:hAnsi="Times New Roman" w:cs="Times New Roman"/>
          <w:b/>
          <w:vertAlign w:val="superscript"/>
        </w:rPr>
        <w:footnoteReference w:id="18"/>
      </w:r>
      <w:r>
        <w:rPr>
          <w:rFonts w:ascii="Times New Roman" w:eastAsia="Times New Roman" w:hAnsi="Times New Roman" w:cs="Times New Roman"/>
        </w:rPr>
        <w:t xml:space="preserve">. The judgment came in favour of the </w:t>
      </w:r>
      <w:proofErr w:type="spellStart"/>
      <w:r>
        <w:rPr>
          <w:rFonts w:ascii="Times New Roman" w:eastAsia="Times New Roman" w:hAnsi="Times New Roman" w:cs="Times New Roman"/>
        </w:rPr>
        <w:t>assessee</w:t>
      </w:r>
      <w:proofErr w:type="spellEnd"/>
      <w:r>
        <w:rPr>
          <w:rFonts w:ascii="Times New Roman" w:eastAsia="Times New Roman" w:hAnsi="Times New Roman" w:cs="Times New Roman"/>
        </w:rPr>
        <w:t>.</w:t>
      </w:r>
    </w:p>
    <w:p w14:paraId="000000E2" w14:textId="77777777" w:rsidR="003702A7"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Conclusion</w:t>
      </w:r>
    </w:p>
    <w:p w14:paraId="000000E3" w14:textId="77777777" w:rsidR="003702A7"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rPr>
        <w:t>Based on the decision of Delhi HC in the case of</w:t>
      </w:r>
      <w:r>
        <w:rPr>
          <w:rFonts w:ascii="Times New Roman" w:eastAsia="Times New Roman" w:hAnsi="Times New Roman" w:cs="Times New Roman"/>
          <w:b/>
        </w:rPr>
        <w:t xml:space="preserve"> Kabul Chawla</w:t>
      </w:r>
      <w:r>
        <w:rPr>
          <w:rFonts w:ascii="Times New Roman" w:eastAsia="Times New Roman" w:hAnsi="Times New Roman" w:cs="Times New Roman"/>
          <w:b/>
          <w:vertAlign w:val="superscript"/>
        </w:rPr>
        <w:footnoteReference w:id="19"/>
      </w:r>
      <w:r>
        <w:rPr>
          <w:rFonts w:ascii="Times New Roman" w:eastAsia="Times New Roman" w:hAnsi="Times New Roman" w:cs="Times New Roman"/>
        </w:rPr>
        <w:t xml:space="preserve"> it was held by the Court that if no incriminating material is found </w:t>
      </w:r>
      <w:proofErr w:type="gramStart"/>
      <w:r>
        <w:rPr>
          <w:rFonts w:ascii="Times New Roman" w:eastAsia="Times New Roman" w:hAnsi="Times New Roman" w:cs="Times New Roman"/>
        </w:rPr>
        <w:t>during the course of</w:t>
      </w:r>
      <w:proofErr w:type="gramEnd"/>
      <w:r>
        <w:rPr>
          <w:rFonts w:ascii="Times New Roman" w:eastAsia="Times New Roman" w:hAnsi="Times New Roman" w:cs="Times New Roman"/>
        </w:rPr>
        <w:t xml:space="preserve"> search in respect of an issue, then no addition in respect of such an issue can be made in the assessment under Sections 153A and 153C of the Act. </w:t>
      </w:r>
      <w:proofErr w:type="gramStart"/>
      <w:r>
        <w:rPr>
          <w:rFonts w:ascii="Times New Roman" w:eastAsia="Times New Roman" w:hAnsi="Times New Roman" w:cs="Times New Roman"/>
        </w:rPr>
        <w:t>Accordingly</w:t>
      </w:r>
      <w:proofErr w:type="gramEnd"/>
      <w:r>
        <w:rPr>
          <w:rFonts w:ascii="Times New Roman" w:eastAsia="Times New Roman" w:hAnsi="Times New Roman" w:cs="Times New Roman"/>
        </w:rPr>
        <w:t xml:space="preserve"> the Court in this case held that no material was placed on record to rebut the findings of the ITAT.</w:t>
      </w:r>
    </w:p>
    <w:p w14:paraId="000000E4" w14:textId="77777777" w:rsidR="003702A7" w:rsidRDefault="003702A7">
      <w:pPr>
        <w:pStyle w:val="Heading1"/>
        <w:jc w:val="both"/>
      </w:pPr>
      <w:bookmarkStart w:id="5" w:name="_heading=h.2et92p0" w:colFirst="0" w:colLast="0"/>
      <w:bookmarkEnd w:id="5"/>
    </w:p>
    <w:p w14:paraId="000000E5" w14:textId="77777777" w:rsidR="003702A7" w:rsidRDefault="00000000">
      <w:pPr>
        <w:pStyle w:val="Heading1"/>
        <w:jc w:val="both"/>
      </w:pPr>
      <w:bookmarkStart w:id="6" w:name="_heading=h.tyjcwt" w:colFirst="0" w:colLast="0"/>
      <w:bookmarkEnd w:id="6"/>
      <w:r>
        <w:t>Ministry of Corporate Affairs (MCA) Notification</w:t>
      </w:r>
    </w:p>
    <w:p w14:paraId="000000E6" w14:textId="77777777" w:rsidR="003702A7" w:rsidRDefault="00000000">
      <w:pPr>
        <w:numPr>
          <w:ilvl w:val="0"/>
          <w:numId w:val="8"/>
        </w:numPr>
        <w:jc w:val="both"/>
        <w:rPr>
          <w:rFonts w:ascii="Times New Roman" w:eastAsia="Times New Roman" w:hAnsi="Times New Roman" w:cs="Times New Roman"/>
          <w:b/>
        </w:rPr>
      </w:pPr>
      <w:hyperlink r:id="rId86">
        <w:r>
          <w:rPr>
            <w:rFonts w:ascii="Times New Roman" w:eastAsia="Times New Roman" w:hAnsi="Times New Roman" w:cs="Times New Roman"/>
            <w:b/>
            <w:color w:val="1155CC"/>
            <w:u w:val="single"/>
          </w:rPr>
          <w:t xml:space="preserve">The </w:t>
        </w:r>
      </w:hyperlink>
      <w:r>
        <w:rPr>
          <w:rFonts w:ascii="Times New Roman" w:eastAsia="Times New Roman" w:hAnsi="Times New Roman" w:cs="Times New Roman"/>
          <w:b/>
          <w:color w:val="1155CC"/>
          <w:u w:val="single"/>
        </w:rPr>
        <w:t>Ministry of Corporate Affairs</w:t>
      </w:r>
      <w:r>
        <w:rPr>
          <w:rFonts w:ascii="Times New Roman" w:eastAsia="Times New Roman" w:hAnsi="Times New Roman" w:cs="Times New Roman"/>
        </w:rPr>
        <w:t xml:space="preserve"> </w:t>
      </w:r>
      <w:hyperlink r:id="rId87">
        <w:r>
          <w:rPr>
            <w:rFonts w:ascii="Times New Roman" w:eastAsia="Times New Roman" w:hAnsi="Times New Roman" w:cs="Times New Roman"/>
            <w:b/>
            <w:color w:val="1155CC"/>
            <w:u w:val="single"/>
          </w:rPr>
          <w:t xml:space="preserve"> (MCA) has inducted instructions for physical verification of Companies by Amending the Rules of Companies Act, 2013.</w:t>
        </w:r>
      </w:hyperlink>
    </w:p>
    <w:p w14:paraId="000000E7" w14:textId="77777777" w:rsidR="003702A7" w:rsidRDefault="003702A7">
      <w:pPr>
        <w:jc w:val="both"/>
        <w:rPr>
          <w:rFonts w:ascii="Times New Roman" w:eastAsia="Times New Roman" w:hAnsi="Times New Roman" w:cs="Times New Roman"/>
        </w:rPr>
      </w:pPr>
    </w:p>
    <w:p w14:paraId="000000E8"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“The Companies (Incorporation) Third Amendment Rules, 2022" have been notified by the Ministry of Corporate Affairs (MCA) in a notification dated August 18, 2022. In accordance with the amendment,, rule 25B is added to the Companies (Incorporation) Rules, 2014, requiring the Registrar to physically verify the company's registered office in accordance with </w:t>
      </w:r>
      <w:hyperlink r:id="rId88">
        <w:r>
          <w:rPr>
            <w:rFonts w:ascii="Times New Roman" w:eastAsia="Times New Roman" w:hAnsi="Times New Roman" w:cs="Times New Roman"/>
            <w:color w:val="1155CC"/>
            <w:u w:val="single"/>
          </w:rPr>
          <w:t>Section 12(9) of the Companies Act, 2013</w:t>
        </w:r>
      </w:hyperlink>
      <w:r>
        <w:rPr>
          <w:rFonts w:ascii="Times New Roman" w:eastAsia="Times New Roman" w:hAnsi="Times New Roman" w:cs="Times New Roman"/>
        </w:rPr>
        <w:t xml:space="preserve">, in the presence of two independent witnesses from the locality. For purposes of physical verification, the Registrar shall carry the documents as filed on MCA 21 in support of the address of the company's registered office and take a photograph of the </w:t>
      </w:r>
      <w:proofErr w:type="gramStart"/>
      <w:r>
        <w:rPr>
          <w:rFonts w:ascii="Times New Roman" w:eastAsia="Times New Roman" w:hAnsi="Times New Roman" w:cs="Times New Roman"/>
        </w:rPr>
        <w:t>same..</w:t>
      </w:r>
      <w:proofErr w:type="gramEnd"/>
    </w:p>
    <w:p w14:paraId="000000E9"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Additionally, a report on the physical inspection of the company's registered office is to be prepared as per the guidelines issued</w:t>
      </w:r>
      <w:proofErr w:type="gramStart"/>
      <w:r>
        <w:rPr>
          <w:rFonts w:ascii="Times New Roman" w:eastAsia="Times New Roman" w:hAnsi="Times New Roman" w:cs="Times New Roman"/>
        </w:rPr>
        <w:t>. .</w:t>
      </w:r>
      <w:proofErr w:type="gramEnd"/>
    </w:p>
    <w:p w14:paraId="000000EA"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 Company’s registered address must be accurate as per the new Companies (Incorporate) Third Amendment Rules, 2022. </w:t>
      </w:r>
    </w:p>
    <w:p w14:paraId="000000EB" w14:textId="77777777" w:rsidR="003702A7" w:rsidRDefault="003702A7">
      <w:pPr>
        <w:jc w:val="both"/>
        <w:rPr>
          <w:rFonts w:ascii="Times New Roman" w:eastAsia="Times New Roman" w:hAnsi="Times New Roman" w:cs="Times New Roman"/>
          <w:b/>
        </w:rPr>
      </w:pPr>
    </w:p>
    <w:p w14:paraId="000000EC" w14:textId="77777777" w:rsidR="003702A7" w:rsidRDefault="00000000">
      <w:pPr>
        <w:numPr>
          <w:ilvl w:val="0"/>
          <w:numId w:val="8"/>
        </w:numPr>
        <w:rPr>
          <w:rFonts w:ascii="Times New Roman" w:eastAsia="Times New Roman" w:hAnsi="Times New Roman" w:cs="Times New Roman"/>
          <w:b/>
        </w:rPr>
      </w:pPr>
      <w:hyperlink r:id="rId89">
        <w:r>
          <w:rPr>
            <w:rFonts w:ascii="Times New Roman" w:eastAsia="Times New Roman" w:hAnsi="Times New Roman" w:cs="Times New Roman"/>
            <w:b/>
            <w:color w:val="1155CC"/>
            <w:u w:val="single"/>
          </w:rPr>
          <w:t>Declaration by Auditors - Companies (Acceptance of Deposits) Amendment, 2022</w:t>
        </w:r>
      </w:hyperlink>
    </w:p>
    <w:p w14:paraId="000000ED" w14:textId="77777777" w:rsidR="003702A7" w:rsidRDefault="003702A7">
      <w:pPr>
        <w:rPr>
          <w:rFonts w:ascii="Times New Roman" w:eastAsia="Times New Roman" w:hAnsi="Times New Roman" w:cs="Times New Roman"/>
        </w:rPr>
      </w:pPr>
    </w:p>
    <w:p w14:paraId="000000EE" w14:textId="1051BAA3" w:rsidR="003702A7" w:rsidRDefault="00000000">
      <w:pPr>
        <w:rPr>
          <w:rFonts w:ascii="Times New Roman" w:eastAsia="Times New Roman" w:hAnsi="Times New Roman" w:cs="Times New Roman"/>
        </w:rPr>
      </w:pPr>
      <w:r>
        <w:rPr>
          <w:rFonts w:ascii="Times New Roman" w:eastAsia="Times New Roman" w:hAnsi="Times New Roman" w:cs="Times New Roman"/>
        </w:rPr>
        <w:t xml:space="preserve">The Ministry of Corporate Affairs (MCA) vide notification G.S.R. 663(E), dated 29 </w:t>
      </w:r>
      <w:proofErr w:type="gramStart"/>
      <w:r>
        <w:rPr>
          <w:rFonts w:ascii="Times New Roman" w:eastAsia="Times New Roman" w:hAnsi="Times New Roman" w:cs="Times New Roman"/>
        </w:rPr>
        <w:t>August,</w:t>
      </w:r>
      <w:proofErr w:type="gramEnd"/>
      <w:r>
        <w:rPr>
          <w:rFonts w:ascii="Times New Roman" w:eastAsia="Times New Roman" w:hAnsi="Times New Roman" w:cs="Times New Roman"/>
        </w:rPr>
        <w:t xml:space="preserve"> 2022 has notified the Companies (Acceptance of Deposits) Rules, 2022 which has amended the Companies (Acceptance of Deposits) Rules, 2014 (“Deposits Rules”).</w:t>
      </w:r>
      <w:r>
        <w:rPr>
          <w:rFonts w:ascii="Times New Roman" w:eastAsia="Times New Roman" w:hAnsi="Times New Roman" w:cs="Times New Roman"/>
        </w:rPr>
        <w:br/>
      </w:r>
    </w:p>
    <w:p w14:paraId="000000EF" w14:textId="77777777" w:rsidR="003702A7" w:rsidRDefault="00000000">
      <w:pPr>
        <w:rPr>
          <w:rFonts w:ascii="Times New Roman" w:eastAsia="Times New Roman" w:hAnsi="Times New Roman" w:cs="Times New Roman"/>
        </w:rPr>
      </w:pPr>
      <w:r>
        <w:rPr>
          <w:rFonts w:ascii="Times New Roman" w:eastAsia="Times New Roman" w:hAnsi="Times New Roman" w:cs="Times New Roman"/>
        </w:rPr>
        <w:t>The MCA has amended rule 16 of the Deposits Rules which requires the company auditors to provide for the additional requirement of declaration (as on March 31 of the concerned financial year) in Form DPT3. This move shall thereby bring transparency and enhance the roles and responsibilities of the statutory auditors.</w:t>
      </w:r>
    </w:p>
    <w:p w14:paraId="000000F0" w14:textId="77777777" w:rsidR="003702A7" w:rsidRDefault="003702A7">
      <w:pPr>
        <w:rPr>
          <w:rFonts w:ascii="Times New Roman" w:eastAsia="Times New Roman" w:hAnsi="Times New Roman" w:cs="Times New Roman"/>
        </w:rPr>
      </w:pPr>
    </w:p>
    <w:p w14:paraId="000000F1" w14:textId="77777777" w:rsidR="003702A7" w:rsidRDefault="00000000">
      <w:pPr>
        <w:numPr>
          <w:ilvl w:val="0"/>
          <w:numId w:val="8"/>
        </w:numPr>
        <w:jc w:val="both"/>
        <w:rPr>
          <w:rFonts w:ascii="Times New Roman" w:eastAsia="Times New Roman" w:hAnsi="Times New Roman" w:cs="Times New Roman"/>
          <w:b/>
        </w:rPr>
      </w:pPr>
      <w:hyperlink r:id="rId90">
        <w:r>
          <w:rPr>
            <w:rFonts w:ascii="Times New Roman" w:eastAsia="Times New Roman" w:hAnsi="Times New Roman" w:cs="Times New Roman"/>
            <w:b/>
            <w:color w:val="1155CC"/>
            <w:u w:val="single"/>
          </w:rPr>
          <w:t>CSR Amendment, 2022</w:t>
        </w:r>
      </w:hyperlink>
    </w:p>
    <w:p w14:paraId="000000F2" w14:textId="77777777" w:rsidR="003702A7" w:rsidRDefault="003702A7">
      <w:pPr>
        <w:jc w:val="both"/>
        <w:rPr>
          <w:rFonts w:ascii="Times New Roman" w:eastAsia="Times New Roman" w:hAnsi="Times New Roman" w:cs="Times New Roman"/>
        </w:rPr>
      </w:pPr>
    </w:p>
    <w:p w14:paraId="000000F3" w14:textId="2A71A787" w:rsidR="003702A7" w:rsidRDefault="00000000">
      <w:pPr>
        <w:jc w:val="both"/>
        <w:rPr>
          <w:rFonts w:ascii="Times New Roman" w:eastAsia="Times New Roman" w:hAnsi="Times New Roman" w:cs="Times New Roman"/>
        </w:rPr>
      </w:pPr>
      <w:r>
        <w:rPr>
          <w:rFonts w:ascii="Times New Roman" w:eastAsia="Times New Roman" w:hAnsi="Times New Roman" w:cs="Times New Roman"/>
        </w:rPr>
        <w:t>In an official order, the Ministry of Corporate Affairs (MCA) has modified the guidelines for determining how much it costs to conduct social impact assessments of Corporate Social Responsibility (CSR) activities and the process for handling companies' unused CSR funding.</w:t>
      </w:r>
    </w:p>
    <w:p w14:paraId="6534B53D" w14:textId="77777777" w:rsidR="008E750A" w:rsidRDefault="008E750A">
      <w:pPr>
        <w:jc w:val="both"/>
        <w:rPr>
          <w:rFonts w:ascii="Times New Roman" w:eastAsia="Times New Roman" w:hAnsi="Times New Roman" w:cs="Times New Roman"/>
        </w:rPr>
      </w:pPr>
    </w:p>
    <w:p w14:paraId="000000F4"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According to the order, residual funds specified for CSR may be kept by businesses in a designated account </w:t>
      </w:r>
      <w:proofErr w:type="gramStart"/>
      <w:r>
        <w:rPr>
          <w:rFonts w:ascii="Times New Roman" w:eastAsia="Times New Roman" w:hAnsi="Times New Roman" w:cs="Times New Roman"/>
        </w:rPr>
        <w:t>as long as</w:t>
      </w:r>
      <w:proofErr w:type="gramEnd"/>
      <w:r>
        <w:rPr>
          <w:rFonts w:ascii="Times New Roman" w:eastAsia="Times New Roman" w:hAnsi="Times New Roman" w:cs="Times New Roman"/>
        </w:rPr>
        <w:t xml:space="preserve"> they use them within three fiscal years. Its utilisation will be regulated by the CSR committee.</w:t>
      </w:r>
    </w:p>
    <w:p w14:paraId="000000F5" w14:textId="77777777" w:rsidR="003702A7" w:rsidRDefault="003702A7">
      <w:pPr>
        <w:jc w:val="both"/>
        <w:rPr>
          <w:rFonts w:ascii="Times New Roman" w:eastAsia="Times New Roman" w:hAnsi="Times New Roman" w:cs="Times New Roman"/>
        </w:rPr>
      </w:pPr>
    </w:p>
    <w:p w14:paraId="000000F6" w14:textId="77777777" w:rsidR="003702A7" w:rsidRDefault="00000000">
      <w:pPr>
        <w:jc w:val="both"/>
        <w:rPr>
          <w:rFonts w:ascii="Times New Roman" w:eastAsia="Times New Roman" w:hAnsi="Times New Roman" w:cs="Times New Roman"/>
          <w:b/>
        </w:rPr>
      </w:pPr>
      <w:r>
        <w:rPr>
          <w:rFonts w:ascii="Times New Roman" w:eastAsia="Times New Roman" w:hAnsi="Times New Roman" w:cs="Times New Roman"/>
          <w:b/>
        </w:rPr>
        <w:t>Establishment of CSR Committee</w:t>
      </w:r>
    </w:p>
    <w:p w14:paraId="000000F7"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In the Companies (Corporate Social Responsibility Policy) Amendment Rules, 2022, the MCA said that companies with any amount in their "Unspent Corporate Social Responsibility Account" shall establish a CSR committee to supervise the fulfilment of their CSR duties. Companies may keep unused funds set aside for CSR in this designated account </w:t>
      </w:r>
      <w:proofErr w:type="gramStart"/>
      <w:r>
        <w:rPr>
          <w:rFonts w:ascii="Times New Roman" w:eastAsia="Times New Roman" w:hAnsi="Times New Roman" w:cs="Times New Roman"/>
        </w:rPr>
        <w:t>as long as</w:t>
      </w:r>
      <w:proofErr w:type="gramEnd"/>
      <w:r>
        <w:rPr>
          <w:rFonts w:ascii="Times New Roman" w:eastAsia="Times New Roman" w:hAnsi="Times New Roman" w:cs="Times New Roman"/>
        </w:rPr>
        <w:t xml:space="preserve"> they use them within three fiscal years. Its utilisation will be supervised by the CSR committee.</w:t>
      </w:r>
    </w:p>
    <w:p w14:paraId="000000F8" w14:textId="77777777" w:rsidR="003702A7" w:rsidRDefault="003702A7">
      <w:pPr>
        <w:jc w:val="both"/>
        <w:rPr>
          <w:rFonts w:ascii="Times New Roman" w:eastAsia="Times New Roman" w:hAnsi="Times New Roman" w:cs="Times New Roman"/>
        </w:rPr>
      </w:pPr>
    </w:p>
    <w:p w14:paraId="000000F9" w14:textId="77777777" w:rsidR="003702A7" w:rsidRDefault="00000000">
      <w:pPr>
        <w:jc w:val="both"/>
        <w:rPr>
          <w:rFonts w:ascii="Times New Roman" w:eastAsia="Times New Roman" w:hAnsi="Times New Roman" w:cs="Times New Roman"/>
          <w:b/>
        </w:rPr>
      </w:pPr>
      <w:r>
        <w:rPr>
          <w:rFonts w:ascii="Times New Roman" w:eastAsia="Times New Roman" w:hAnsi="Times New Roman" w:cs="Times New Roman"/>
          <w:b/>
        </w:rPr>
        <w:t>Change in Expenditure for Social Impact Assessment</w:t>
      </w:r>
    </w:p>
    <w:p w14:paraId="000000FA" w14:textId="3219E524"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The ministry also changed how businesses can figure out how much it will cost to undertake an impact assessment. Large CSR spenders are required by law to do an independent impact analysis of their operations, enabling businesses and investors to better target and analyse the social impact of their investments. Additionally, this would aid them in developing stronger CSR initiatives. Businesses having a CSR budget of RS 10 </w:t>
      </w:r>
      <w:proofErr w:type="gramStart"/>
      <w:r>
        <w:rPr>
          <w:rFonts w:ascii="Times New Roman" w:eastAsia="Times New Roman" w:hAnsi="Times New Roman" w:cs="Times New Roman"/>
        </w:rPr>
        <w:t>crore</w:t>
      </w:r>
      <w:proofErr w:type="gramEnd"/>
      <w:r>
        <w:rPr>
          <w:rFonts w:ascii="Times New Roman" w:eastAsia="Times New Roman" w:hAnsi="Times New Roman" w:cs="Times New Roman"/>
        </w:rPr>
        <w:t xml:space="preserve"> or more are required to conduct these impact assessments, as are any initiatives with an investment of 1 crore or more.</w:t>
      </w:r>
    </w:p>
    <w:p w14:paraId="267852D9" w14:textId="77777777" w:rsidR="008E750A" w:rsidRDefault="008E750A">
      <w:pPr>
        <w:jc w:val="both"/>
        <w:rPr>
          <w:rFonts w:ascii="Times New Roman" w:eastAsia="Times New Roman" w:hAnsi="Times New Roman" w:cs="Times New Roman"/>
        </w:rPr>
      </w:pPr>
    </w:p>
    <w:p w14:paraId="000000FB"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According to the new regulation, the cost of social impact assessments, which can be counted as CSR spending, cannot be greater than 2.5% of all CSR expenditures for the applicable financial year or 50 </w:t>
      </w:r>
      <w:proofErr w:type="gramStart"/>
      <w:r>
        <w:rPr>
          <w:rFonts w:ascii="Times New Roman" w:eastAsia="Times New Roman" w:hAnsi="Times New Roman" w:cs="Times New Roman"/>
        </w:rPr>
        <w:t>lakh</w:t>
      </w:r>
      <w:proofErr w:type="gramEnd"/>
      <w:r>
        <w:rPr>
          <w:rFonts w:ascii="Times New Roman" w:eastAsia="Times New Roman" w:hAnsi="Times New Roman" w:cs="Times New Roman"/>
        </w:rPr>
        <w:t>, whichever is higher. Prior regulations had authorised up to 5% of overall CSR expenditures, or $50,000, whichever was less. The modification permits greater impact assessment spending in the event of substantial CSR programmes.</w:t>
      </w:r>
    </w:p>
    <w:p w14:paraId="000000FC"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w:t>
      </w:r>
    </w:p>
    <w:p w14:paraId="000000FD" w14:textId="77777777" w:rsidR="003702A7" w:rsidRDefault="003702A7">
      <w:pPr>
        <w:jc w:val="both"/>
        <w:rPr>
          <w:rFonts w:ascii="Times New Roman" w:eastAsia="Times New Roman" w:hAnsi="Times New Roman" w:cs="Times New Roman"/>
        </w:rPr>
      </w:pPr>
    </w:p>
    <w:p w14:paraId="000000FE" w14:textId="77777777" w:rsidR="003702A7" w:rsidRDefault="00000000">
      <w:pPr>
        <w:pStyle w:val="Heading1"/>
        <w:jc w:val="both"/>
      </w:pPr>
      <w:bookmarkStart w:id="7" w:name="_heading=h.3dy6vkm" w:colFirst="0" w:colLast="0"/>
      <w:bookmarkEnd w:id="7"/>
      <w:r>
        <w:t>Security and Exchange Board of India (SEBI) Regulations</w:t>
      </w:r>
    </w:p>
    <w:p w14:paraId="000000FF" w14:textId="69A16DCE" w:rsidR="003702A7" w:rsidRDefault="00000000">
      <w:pPr>
        <w:numPr>
          <w:ilvl w:val="0"/>
          <w:numId w:val="1"/>
        </w:numPr>
        <w:jc w:val="both"/>
        <w:rPr>
          <w:rFonts w:ascii="Times New Roman" w:eastAsia="Times New Roman" w:hAnsi="Times New Roman" w:cs="Times New Roman"/>
          <w:b/>
        </w:rPr>
      </w:pPr>
      <w:hyperlink r:id="rId91">
        <w:r>
          <w:rPr>
            <w:rFonts w:ascii="Times New Roman" w:eastAsia="Times New Roman" w:hAnsi="Times New Roman" w:cs="Times New Roman"/>
            <w:b/>
            <w:color w:val="1155CC"/>
            <w:u w:val="single"/>
          </w:rPr>
          <w:t xml:space="preserve">Regulations for </w:t>
        </w:r>
        <w:r w:rsidR="008E750A">
          <w:rPr>
            <w:rFonts w:ascii="Times New Roman" w:eastAsia="Times New Roman" w:hAnsi="Times New Roman" w:cs="Times New Roman"/>
            <w:b/>
            <w:color w:val="1155CC"/>
            <w:u w:val="single"/>
          </w:rPr>
          <w:t>foreign</w:t>
        </w:r>
        <w:r>
          <w:rPr>
            <w:rFonts w:ascii="Times New Roman" w:eastAsia="Times New Roman" w:hAnsi="Times New Roman" w:cs="Times New Roman"/>
            <w:b/>
            <w:color w:val="1155CC"/>
            <w:u w:val="single"/>
          </w:rPr>
          <w:t xml:space="preserve"> investments by Alternative Investment Funds (AIFs) / Venture Capital Funds (VCFs)</w:t>
        </w:r>
      </w:hyperlink>
    </w:p>
    <w:p w14:paraId="00000100" w14:textId="77777777" w:rsidR="003702A7" w:rsidRDefault="003702A7">
      <w:pPr>
        <w:rPr>
          <w:rFonts w:ascii="Times New Roman" w:eastAsia="Times New Roman" w:hAnsi="Times New Roman" w:cs="Times New Roman"/>
          <w:u w:val="single"/>
        </w:rPr>
      </w:pPr>
    </w:p>
    <w:p w14:paraId="00000101"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AIFs/VCFs may invest in securities of companies incorporated outside of India under the terms of Regulation 12(</w:t>
      </w:r>
      <w:proofErr w:type="spellStart"/>
      <w:r>
        <w:rPr>
          <w:rFonts w:ascii="Times New Roman" w:eastAsia="Times New Roman" w:hAnsi="Times New Roman" w:cs="Times New Roman"/>
        </w:rPr>
        <w:t>ba</w:t>
      </w:r>
      <w:proofErr w:type="spellEnd"/>
      <w:r>
        <w:rPr>
          <w:rFonts w:ascii="Times New Roman" w:eastAsia="Times New Roman" w:hAnsi="Times New Roman" w:cs="Times New Roman"/>
        </w:rPr>
        <w:t>) of the former SEBI (Venture Capital Funds) Regulations 1996 and Regulation 15(1)(a) of the SEBI (Alternative Investment Funds) Regulations, 2012, subject to any conditions or guidelines that may be outlined or issued from time to time by the Reserve Bank of India (RBI) and SEBI.</w:t>
      </w:r>
    </w:p>
    <w:p w14:paraId="00000102" w14:textId="77777777" w:rsidR="003702A7" w:rsidRDefault="003702A7">
      <w:pPr>
        <w:jc w:val="both"/>
        <w:rPr>
          <w:rFonts w:ascii="Times New Roman" w:eastAsia="Times New Roman" w:hAnsi="Times New Roman" w:cs="Times New Roman"/>
        </w:rPr>
      </w:pPr>
    </w:p>
    <w:p w14:paraId="00000103"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AIFs and VCFs must invest in foreign companies incorporated in nations whose securities market regulators have signed the Multilateral Memorandum of Understanding between the International Organization of Securities Commissions or the bilateral Memorandum of Understanding with SEBI. </w:t>
      </w:r>
    </w:p>
    <w:p w14:paraId="00000104" w14:textId="77777777" w:rsidR="003702A7" w:rsidRDefault="003702A7">
      <w:pPr>
        <w:jc w:val="both"/>
        <w:rPr>
          <w:rFonts w:ascii="Times New Roman" w:eastAsia="Times New Roman" w:hAnsi="Times New Roman" w:cs="Times New Roman"/>
        </w:rPr>
      </w:pPr>
    </w:p>
    <w:p w14:paraId="00000105"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AIFs/VCFs shall not invest in an overseas investee company that is incorporated in a nation listed in the Financial Action Task Force's (FATF) public statement </w:t>
      </w:r>
      <w:proofErr w:type="gramStart"/>
      <w:r>
        <w:rPr>
          <w:rFonts w:ascii="Times New Roman" w:eastAsia="Times New Roman" w:hAnsi="Times New Roman" w:cs="Times New Roman"/>
        </w:rPr>
        <w:t>as:-</w:t>
      </w:r>
      <w:proofErr w:type="gramEnd"/>
    </w:p>
    <w:p w14:paraId="00000106" w14:textId="77777777" w:rsidR="003702A7" w:rsidRDefault="003702A7">
      <w:pPr>
        <w:jc w:val="both"/>
        <w:rPr>
          <w:rFonts w:ascii="Times New Roman" w:eastAsia="Times New Roman" w:hAnsi="Times New Roman" w:cs="Times New Roman"/>
        </w:rPr>
      </w:pPr>
    </w:p>
    <w:p w14:paraId="00000107" w14:textId="77777777" w:rsidR="003702A7"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a jurisdiction with strategic deficiencies in anti-money laundering or countering the financing of terrorism that require countermeasures; or </w:t>
      </w:r>
    </w:p>
    <w:p w14:paraId="00000108" w14:textId="77777777" w:rsidR="003702A7" w:rsidRDefault="003702A7">
      <w:pPr>
        <w:ind w:left="720"/>
        <w:jc w:val="both"/>
        <w:rPr>
          <w:rFonts w:ascii="Times New Roman" w:eastAsia="Times New Roman" w:hAnsi="Times New Roman" w:cs="Times New Roman"/>
        </w:rPr>
      </w:pPr>
    </w:p>
    <w:p w14:paraId="00000109" w14:textId="77777777" w:rsidR="003702A7"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a jurisdiction that has not made enough progress in addressing the deficiencies or has not made a commitment to an improvement plan.</w:t>
      </w:r>
    </w:p>
    <w:p w14:paraId="0000010A" w14:textId="77777777" w:rsidR="003702A7" w:rsidRDefault="003702A7">
      <w:pPr>
        <w:ind w:left="720"/>
        <w:jc w:val="both"/>
        <w:rPr>
          <w:rFonts w:ascii="Times New Roman" w:eastAsia="Times New Roman" w:hAnsi="Times New Roman" w:cs="Times New Roman"/>
        </w:rPr>
      </w:pPr>
    </w:p>
    <w:p w14:paraId="0000010B" w14:textId="6CCBAF40" w:rsidR="003702A7" w:rsidRDefault="00000000">
      <w:pPr>
        <w:jc w:val="both"/>
        <w:rPr>
          <w:rFonts w:ascii="Times New Roman" w:eastAsia="Times New Roman" w:hAnsi="Times New Roman" w:cs="Times New Roman"/>
        </w:rPr>
      </w:pPr>
      <w:r>
        <w:rPr>
          <w:rFonts w:ascii="Times New Roman" w:eastAsia="Times New Roman" w:hAnsi="Times New Roman" w:cs="Times New Roman"/>
        </w:rPr>
        <w:t>The sale proceeds received from the liquidation of investment made by an AIF/VCFs in an overseas investee company previously shall be available for reinvestment by the AIFs/ VCFs to the extent of the investment.</w:t>
      </w:r>
    </w:p>
    <w:p w14:paraId="0000010C" w14:textId="77777777" w:rsidR="003702A7" w:rsidRDefault="003702A7">
      <w:pPr>
        <w:jc w:val="both"/>
        <w:rPr>
          <w:rFonts w:ascii="Times New Roman" w:eastAsia="Times New Roman" w:hAnsi="Times New Roman" w:cs="Times New Roman"/>
        </w:rPr>
      </w:pPr>
    </w:p>
    <w:p w14:paraId="0000010D" w14:textId="77777777" w:rsidR="003702A7" w:rsidRDefault="00000000">
      <w:pPr>
        <w:jc w:val="both"/>
        <w:rPr>
          <w:rFonts w:ascii="Times New Roman" w:eastAsia="Times New Roman" w:hAnsi="Times New Roman" w:cs="Times New Roman"/>
          <w:b/>
        </w:rPr>
      </w:pPr>
      <w:r>
        <w:rPr>
          <w:rFonts w:ascii="Times New Roman" w:eastAsia="Times New Roman" w:hAnsi="Times New Roman" w:cs="Times New Roman"/>
        </w:rPr>
        <w:t xml:space="preserve">2. </w:t>
      </w:r>
      <w:hyperlink r:id="rId92">
        <w:r>
          <w:rPr>
            <w:rFonts w:ascii="Times New Roman" w:eastAsia="Times New Roman" w:hAnsi="Times New Roman" w:cs="Times New Roman"/>
            <w:b/>
            <w:color w:val="1155CC"/>
            <w:u w:val="single"/>
          </w:rPr>
          <w:t>Sebi joins the RBI's network of account aggregators</w:t>
        </w:r>
      </w:hyperlink>
    </w:p>
    <w:p w14:paraId="0000010E" w14:textId="77777777" w:rsidR="003702A7" w:rsidRDefault="003702A7">
      <w:pPr>
        <w:jc w:val="both"/>
        <w:rPr>
          <w:rFonts w:ascii="Times New Roman" w:eastAsia="Times New Roman" w:hAnsi="Times New Roman" w:cs="Times New Roman"/>
        </w:rPr>
      </w:pPr>
    </w:p>
    <w:p w14:paraId="0000010F" w14:textId="5D0F27C1" w:rsidR="003702A7" w:rsidRDefault="00000000">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SEBI joined the account aggregator framework, which will help the Reserve Bank of India's financial data sharing system gain more traction. Customers will be able to communicate with financial service providers regarding their stock and mutual fund holdings </w:t>
      </w:r>
      <w:proofErr w:type="gramStart"/>
      <w:r>
        <w:rPr>
          <w:rFonts w:ascii="Times New Roman" w:eastAsia="Times New Roman" w:hAnsi="Times New Roman" w:cs="Times New Roman"/>
        </w:rPr>
        <w:t>as a result of</w:t>
      </w:r>
      <w:proofErr w:type="gramEnd"/>
      <w:r>
        <w:rPr>
          <w:rFonts w:ascii="Times New Roman" w:eastAsia="Times New Roman" w:hAnsi="Times New Roman" w:cs="Times New Roman"/>
        </w:rPr>
        <w:t xml:space="preserve"> the change. </w:t>
      </w:r>
    </w:p>
    <w:p w14:paraId="2974FA8B" w14:textId="77777777" w:rsidR="008E750A" w:rsidRDefault="008E750A">
      <w:pPr>
        <w:jc w:val="both"/>
        <w:rPr>
          <w:rFonts w:ascii="Times New Roman" w:eastAsia="Times New Roman" w:hAnsi="Times New Roman" w:cs="Times New Roman"/>
        </w:rPr>
      </w:pPr>
    </w:p>
    <w:p w14:paraId="00000110" w14:textId="77777777" w:rsidR="003702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According to the framework, Financial Information Providers (FIPs) in the securities market, such as depositories and Asset Management Companies (AMCs), will give customers and willing Financial Information Users (FIUs) access to financial information about the securities markets through any account aggregators registered with the Reserve Bank of India (RBI). Account Aggregator, often known as AA, is a </w:t>
      </w:r>
      <w:proofErr w:type="spellStart"/>
      <w:proofErr w:type="gramStart"/>
      <w:r>
        <w:rPr>
          <w:rFonts w:ascii="Times New Roman" w:eastAsia="Times New Roman" w:hAnsi="Times New Roman" w:cs="Times New Roman"/>
        </w:rPr>
        <w:t>non banking</w:t>
      </w:r>
      <w:proofErr w:type="spellEnd"/>
      <w:proofErr w:type="gramEnd"/>
      <w:r>
        <w:rPr>
          <w:rFonts w:ascii="Times New Roman" w:eastAsia="Times New Roman" w:hAnsi="Times New Roman" w:cs="Times New Roman"/>
        </w:rPr>
        <w:t xml:space="preserve"> finance business (NBFC) that is subject to RBI regulation. With the customer's permission, AA enables the collecting of the customer's financial information from financial information providers.</w:t>
      </w:r>
    </w:p>
    <w:p w14:paraId="00000111" w14:textId="77777777" w:rsidR="003702A7" w:rsidRDefault="003702A7">
      <w:pPr>
        <w:shd w:val="clear" w:color="auto" w:fill="FFFFFF"/>
        <w:spacing w:after="220" w:line="504" w:lineRule="auto"/>
        <w:jc w:val="both"/>
        <w:rPr>
          <w:rFonts w:ascii="Times New Roman" w:eastAsia="Times New Roman" w:hAnsi="Times New Roman" w:cs="Times New Roman"/>
        </w:rPr>
      </w:pPr>
    </w:p>
    <w:p w14:paraId="00000112" w14:textId="77777777" w:rsidR="003702A7" w:rsidRDefault="003702A7">
      <w:pPr>
        <w:jc w:val="both"/>
        <w:rPr>
          <w:rFonts w:ascii="Times New Roman" w:eastAsia="Times New Roman" w:hAnsi="Times New Roman" w:cs="Times New Roman"/>
        </w:rPr>
      </w:pPr>
    </w:p>
    <w:p w14:paraId="00000113" w14:textId="77777777" w:rsidR="003702A7" w:rsidRDefault="003702A7">
      <w:pPr>
        <w:rPr>
          <w:rFonts w:ascii="Times New Roman" w:eastAsia="Times New Roman" w:hAnsi="Times New Roman" w:cs="Times New Roman"/>
        </w:rPr>
      </w:pPr>
    </w:p>
    <w:sectPr w:rsidR="003702A7">
      <w:headerReference w:type="default" r:id="rId9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DEA0" w14:textId="77777777" w:rsidR="00A3282A" w:rsidRDefault="00A3282A">
      <w:pPr>
        <w:spacing w:line="240" w:lineRule="auto"/>
      </w:pPr>
      <w:r>
        <w:separator/>
      </w:r>
    </w:p>
  </w:endnote>
  <w:endnote w:type="continuationSeparator" w:id="0">
    <w:p w14:paraId="73066096" w14:textId="77777777" w:rsidR="00A3282A" w:rsidRDefault="00A32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0542" w14:textId="77777777" w:rsidR="00A3282A" w:rsidRDefault="00A3282A">
      <w:pPr>
        <w:spacing w:line="240" w:lineRule="auto"/>
      </w:pPr>
      <w:r>
        <w:separator/>
      </w:r>
    </w:p>
  </w:footnote>
  <w:footnote w:type="continuationSeparator" w:id="0">
    <w:p w14:paraId="41C7C1D1" w14:textId="77777777" w:rsidR="00A3282A" w:rsidRDefault="00A3282A">
      <w:pPr>
        <w:spacing w:line="240" w:lineRule="auto"/>
      </w:pPr>
      <w:r>
        <w:continuationSeparator/>
      </w:r>
    </w:p>
  </w:footnote>
  <w:footnote w:id="1">
    <w:p w14:paraId="00000114" w14:textId="77777777" w:rsidR="003702A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MANU/SC/0965/2022</w:t>
      </w:r>
    </w:p>
    <w:p w14:paraId="00000115" w14:textId="77777777" w:rsidR="003702A7" w:rsidRDefault="003702A7">
      <w:pPr>
        <w:spacing w:line="240" w:lineRule="auto"/>
        <w:rPr>
          <w:sz w:val="20"/>
          <w:szCs w:val="20"/>
        </w:rPr>
      </w:pPr>
    </w:p>
  </w:footnote>
  <w:footnote w:id="2">
    <w:p w14:paraId="0000012B" w14:textId="77777777" w:rsidR="003702A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2022 SCC Online SC 210 </w:t>
      </w:r>
    </w:p>
    <w:p w14:paraId="0000012C" w14:textId="77777777" w:rsidR="003702A7" w:rsidRDefault="003702A7">
      <w:pPr>
        <w:spacing w:line="240" w:lineRule="auto"/>
        <w:rPr>
          <w:sz w:val="20"/>
          <w:szCs w:val="20"/>
        </w:rPr>
      </w:pPr>
    </w:p>
  </w:footnote>
  <w:footnote w:id="3">
    <w:p w14:paraId="00000116" w14:textId="77777777" w:rsidR="003702A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MANU/SC/0850/2022</w:t>
      </w:r>
    </w:p>
    <w:p w14:paraId="00000117" w14:textId="77777777" w:rsidR="003702A7" w:rsidRDefault="003702A7">
      <w:pPr>
        <w:spacing w:line="240" w:lineRule="auto"/>
        <w:rPr>
          <w:sz w:val="20"/>
          <w:szCs w:val="20"/>
        </w:rPr>
      </w:pPr>
    </w:p>
  </w:footnote>
  <w:footnote w:id="4">
    <w:p w14:paraId="00000118" w14:textId="77777777" w:rsidR="003702A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W.P. (</w:t>
      </w:r>
      <w:proofErr w:type="spellStart"/>
      <w:r>
        <w:rPr>
          <w:rFonts w:ascii="Times New Roman" w:eastAsia="Times New Roman" w:hAnsi="Times New Roman" w:cs="Times New Roman"/>
          <w:sz w:val="20"/>
          <w:szCs w:val="20"/>
        </w:rPr>
        <w:t>Crl</w:t>
      </w:r>
      <w:proofErr w:type="spellEnd"/>
      <w:r>
        <w:rPr>
          <w:rFonts w:ascii="Times New Roman" w:eastAsia="Times New Roman" w:hAnsi="Times New Roman" w:cs="Times New Roman"/>
          <w:sz w:val="20"/>
          <w:szCs w:val="20"/>
        </w:rPr>
        <w:t>.) 559/2020</w:t>
      </w:r>
    </w:p>
  </w:footnote>
  <w:footnote w:id="5">
    <w:p w14:paraId="00000119" w14:textId="77777777" w:rsidR="003702A7" w:rsidRDefault="00000000">
      <w:pPr>
        <w:spacing w:line="240" w:lineRule="auto"/>
        <w:rPr>
          <w:rFonts w:ascii="Times New Roman" w:eastAsia="Times New Roman" w:hAnsi="Times New Roman" w:cs="Times New Roman"/>
          <w:sz w:val="12"/>
          <w:szCs w:val="12"/>
        </w:rPr>
      </w:pPr>
      <w:r>
        <w:rPr>
          <w:vertAlign w:val="superscript"/>
        </w:rPr>
        <w:footnoteRef/>
      </w:r>
      <w:r>
        <w:rPr>
          <w:sz w:val="20"/>
          <w:szCs w:val="20"/>
        </w:rPr>
        <w:t xml:space="preserve"> </w:t>
      </w:r>
      <w:r>
        <w:rPr>
          <w:rFonts w:ascii="Times New Roman" w:eastAsia="Times New Roman" w:hAnsi="Times New Roman" w:cs="Times New Roman"/>
          <w:color w:val="2A3744"/>
          <w:sz w:val="19"/>
          <w:szCs w:val="19"/>
          <w:highlight w:val="white"/>
        </w:rPr>
        <w:t xml:space="preserve">2022 </w:t>
      </w:r>
      <w:proofErr w:type="spellStart"/>
      <w:r>
        <w:rPr>
          <w:rFonts w:ascii="Times New Roman" w:eastAsia="Times New Roman" w:hAnsi="Times New Roman" w:cs="Times New Roman"/>
          <w:color w:val="2A3744"/>
          <w:sz w:val="19"/>
          <w:szCs w:val="19"/>
          <w:highlight w:val="white"/>
        </w:rPr>
        <w:t>LiveLaw</w:t>
      </w:r>
      <w:proofErr w:type="spellEnd"/>
      <w:r>
        <w:rPr>
          <w:rFonts w:ascii="Times New Roman" w:eastAsia="Times New Roman" w:hAnsi="Times New Roman" w:cs="Times New Roman"/>
          <w:color w:val="2A3744"/>
          <w:sz w:val="19"/>
          <w:szCs w:val="19"/>
          <w:highlight w:val="white"/>
        </w:rPr>
        <w:t xml:space="preserve"> (Kar) 183</w:t>
      </w:r>
    </w:p>
  </w:footnote>
  <w:footnote w:id="6">
    <w:p w14:paraId="0000011A" w14:textId="77777777" w:rsidR="003702A7"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CS (COMM) 582/2022 &amp; I.As.13529-32/2022</w:t>
      </w:r>
    </w:p>
  </w:footnote>
  <w:footnote w:id="7">
    <w:p w14:paraId="0000011B" w14:textId="77777777" w:rsidR="003702A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2022 SCC </w:t>
      </w:r>
      <w:proofErr w:type="spellStart"/>
      <w:r>
        <w:rPr>
          <w:rFonts w:ascii="Times New Roman" w:eastAsia="Times New Roman" w:hAnsi="Times New Roman" w:cs="Times New Roman"/>
          <w:sz w:val="20"/>
          <w:szCs w:val="20"/>
        </w:rPr>
        <w:t>OnLine</w:t>
      </w:r>
      <w:proofErr w:type="spellEnd"/>
      <w:r>
        <w:rPr>
          <w:rFonts w:ascii="Times New Roman" w:eastAsia="Times New Roman" w:hAnsi="Times New Roman" w:cs="Times New Roman"/>
          <w:sz w:val="20"/>
          <w:szCs w:val="20"/>
        </w:rPr>
        <w:t xml:space="preserve"> SC 1028</w:t>
      </w:r>
    </w:p>
  </w:footnote>
  <w:footnote w:id="8">
    <w:p w14:paraId="0000011C" w14:textId="77777777" w:rsidR="003702A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Company Appeal (AT) (Ins.) No. 886 of 2022</w:t>
      </w:r>
    </w:p>
  </w:footnote>
  <w:footnote w:id="9">
    <w:p w14:paraId="00000128" w14:textId="77777777" w:rsidR="003702A7"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Civil Appeal No. 6015 of 2019</w:t>
      </w:r>
    </w:p>
  </w:footnote>
  <w:footnote w:id="10">
    <w:p w14:paraId="0000011D" w14:textId="77777777" w:rsidR="003702A7"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Civil Appeal No. 7027 of 2019</w:t>
      </w:r>
    </w:p>
  </w:footnote>
  <w:footnote w:id="11">
    <w:p w14:paraId="0000011E" w14:textId="77777777" w:rsidR="003702A7"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Civil Appeal Nos. 8512-8527 Of 2019</w:t>
      </w:r>
    </w:p>
  </w:footnote>
  <w:footnote w:id="12">
    <w:p w14:paraId="0000011F" w14:textId="77777777" w:rsidR="003702A7" w:rsidRDefault="00000000">
      <w:pPr>
        <w:spacing w:line="240" w:lineRule="auto"/>
        <w:rPr>
          <w:rFonts w:ascii="Times New Roman" w:eastAsia="Times New Roman" w:hAnsi="Times New Roman" w:cs="Times New Roman"/>
          <w:i/>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Ibid</w:t>
      </w:r>
    </w:p>
  </w:footnote>
  <w:footnote w:id="13">
    <w:p w14:paraId="00000120" w14:textId="77777777" w:rsidR="003702A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Budhia Swain v. Gopinath Deb, (1999) 4 SCC 396</w:t>
      </w:r>
    </w:p>
  </w:footnote>
  <w:footnote w:id="14">
    <w:p w14:paraId="00000121" w14:textId="77777777" w:rsidR="003702A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Comp. App. (AT) (Ins) No. 13 of 2022</w:t>
      </w:r>
    </w:p>
  </w:footnote>
  <w:footnote w:id="15">
    <w:p w14:paraId="00000122" w14:textId="77777777" w:rsidR="003702A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I.T.A No.6440/ Mum/2009</w:t>
      </w:r>
    </w:p>
  </w:footnote>
  <w:footnote w:id="16">
    <w:p w14:paraId="00000123" w14:textId="77777777" w:rsidR="003702A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2A3744"/>
          <w:sz w:val="20"/>
          <w:szCs w:val="20"/>
          <w:highlight w:val="white"/>
        </w:rPr>
        <w:t xml:space="preserve">2022 </w:t>
      </w:r>
      <w:proofErr w:type="spellStart"/>
      <w:r>
        <w:rPr>
          <w:rFonts w:ascii="Times New Roman" w:eastAsia="Times New Roman" w:hAnsi="Times New Roman" w:cs="Times New Roman"/>
          <w:color w:val="2A3744"/>
          <w:sz w:val="20"/>
          <w:szCs w:val="20"/>
          <w:highlight w:val="white"/>
        </w:rPr>
        <w:t>LiveLaw</w:t>
      </w:r>
      <w:proofErr w:type="spellEnd"/>
      <w:r>
        <w:rPr>
          <w:rFonts w:ascii="Times New Roman" w:eastAsia="Times New Roman" w:hAnsi="Times New Roman" w:cs="Times New Roman"/>
          <w:color w:val="2A3744"/>
          <w:sz w:val="20"/>
          <w:szCs w:val="20"/>
          <w:highlight w:val="white"/>
        </w:rPr>
        <w:t xml:space="preserve"> (Del) 740</w:t>
      </w:r>
    </w:p>
  </w:footnote>
  <w:footnote w:id="17">
    <w:p w14:paraId="00000124" w14:textId="77777777" w:rsidR="003702A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ITA 5856/DEL/2018</w:t>
      </w:r>
    </w:p>
  </w:footnote>
  <w:footnote w:id="18">
    <w:p w14:paraId="00000125" w14:textId="77777777" w:rsidR="003702A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ITA 6169/DEL/2018</w:t>
      </w:r>
    </w:p>
  </w:footnote>
  <w:footnote w:id="19">
    <w:p w14:paraId="00000126" w14:textId="77777777" w:rsidR="003702A7"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ITA 707/2014</w:t>
      </w:r>
    </w:p>
    <w:p w14:paraId="00000127" w14:textId="77777777" w:rsidR="003702A7" w:rsidRDefault="003702A7">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9" w14:textId="176EDB46" w:rsidR="003702A7" w:rsidRDefault="003D2DFD">
    <w:r>
      <w:rPr>
        <w:noProof/>
      </w:rPr>
      <w:drawing>
        <wp:anchor distT="0" distB="0" distL="114300" distR="114300" simplePos="0" relativeHeight="251658240" behindDoc="0" locked="0" layoutInCell="1" allowOverlap="1" wp14:anchorId="12DED736" wp14:editId="332AB40C">
          <wp:simplePos x="0" y="0"/>
          <wp:positionH relativeFrom="column">
            <wp:posOffset>-619125</wp:posOffset>
          </wp:positionH>
          <wp:positionV relativeFrom="paragraph">
            <wp:posOffset>-123825</wp:posOffset>
          </wp:positionV>
          <wp:extent cx="838200" cy="350604"/>
          <wp:effectExtent l="0" t="0" r="0" b="0"/>
          <wp:wrapThrough wrapText="bothSides">
            <wp:wrapPolygon edited="0">
              <wp:start x="0" y="0"/>
              <wp:lineTo x="0" y="19957"/>
              <wp:lineTo x="21109" y="19957"/>
              <wp:lineTo x="21109"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200" cy="3506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BFF"/>
    <w:multiLevelType w:val="multilevel"/>
    <w:tmpl w:val="C91CE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DB24F5"/>
    <w:multiLevelType w:val="multilevel"/>
    <w:tmpl w:val="164E0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315ADD"/>
    <w:multiLevelType w:val="multilevel"/>
    <w:tmpl w:val="4E324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98492F"/>
    <w:multiLevelType w:val="multilevel"/>
    <w:tmpl w:val="C78AB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3B208D"/>
    <w:multiLevelType w:val="multilevel"/>
    <w:tmpl w:val="F6FA9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6FA33A3"/>
    <w:multiLevelType w:val="multilevel"/>
    <w:tmpl w:val="3EE2D3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A236E85"/>
    <w:multiLevelType w:val="multilevel"/>
    <w:tmpl w:val="7F9285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A8570F3"/>
    <w:multiLevelType w:val="multilevel"/>
    <w:tmpl w:val="D0B066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76E57942"/>
    <w:multiLevelType w:val="multilevel"/>
    <w:tmpl w:val="6CBE3B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51374045">
    <w:abstractNumId w:val="5"/>
  </w:num>
  <w:num w:numId="2" w16cid:durableId="1341546749">
    <w:abstractNumId w:val="7"/>
  </w:num>
  <w:num w:numId="3" w16cid:durableId="574822210">
    <w:abstractNumId w:val="0"/>
  </w:num>
  <w:num w:numId="4" w16cid:durableId="397871363">
    <w:abstractNumId w:val="3"/>
  </w:num>
  <w:num w:numId="5" w16cid:durableId="1643923010">
    <w:abstractNumId w:val="8"/>
  </w:num>
  <w:num w:numId="6" w16cid:durableId="976958473">
    <w:abstractNumId w:val="1"/>
  </w:num>
  <w:num w:numId="7" w16cid:durableId="15860053">
    <w:abstractNumId w:val="2"/>
  </w:num>
  <w:num w:numId="8" w16cid:durableId="405029791">
    <w:abstractNumId w:val="4"/>
  </w:num>
  <w:num w:numId="9" w16cid:durableId="212623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2A7"/>
    <w:rsid w:val="00151DF3"/>
    <w:rsid w:val="001A65BE"/>
    <w:rsid w:val="003702A7"/>
    <w:rsid w:val="003D2DFD"/>
    <w:rsid w:val="005779B8"/>
    <w:rsid w:val="00720CB2"/>
    <w:rsid w:val="008E750A"/>
    <w:rsid w:val="00A328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99815"/>
  <w15:docId w15:val="{848A76B5-DF22-4238-8C6D-5F5903AB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outlineLvl w:val="0"/>
    </w:pPr>
    <w:rPr>
      <w:rFonts w:ascii="Times New Roman" w:eastAsia="Times New Roman" w:hAnsi="Times New Roman" w:cs="Times New Roman"/>
      <w:b/>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D2DFD"/>
    <w:pPr>
      <w:tabs>
        <w:tab w:val="center" w:pos="4513"/>
        <w:tab w:val="right" w:pos="9026"/>
      </w:tabs>
      <w:spacing w:line="240" w:lineRule="auto"/>
    </w:pPr>
  </w:style>
  <w:style w:type="character" w:customStyle="1" w:styleId="HeaderChar">
    <w:name w:val="Header Char"/>
    <w:basedOn w:val="DefaultParagraphFont"/>
    <w:link w:val="Header"/>
    <w:uiPriority w:val="99"/>
    <w:rsid w:val="003D2DFD"/>
  </w:style>
  <w:style w:type="paragraph" w:styleId="Footer">
    <w:name w:val="footer"/>
    <w:basedOn w:val="Normal"/>
    <w:link w:val="FooterChar"/>
    <w:uiPriority w:val="99"/>
    <w:unhideWhenUsed/>
    <w:rsid w:val="003D2DFD"/>
    <w:pPr>
      <w:tabs>
        <w:tab w:val="center" w:pos="4513"/>
        <w:tab w:val="right" w:pos="9026"/>
      </w:tabs>
      <w:spacing w:line="240" w:lineRule="auto"/>
    </w:pPr>
  </w:style>
  <w:style w:type="character" w:customStyle="1" w:styleId="FooterChar">
    <w:name w:val="Footer Char"/>
    <w:basedOn w:val="DefaultParagraphFont"/>
    <w:link w:val="Footer"/>
    <w:uiPriority w:val="99"/>
    <w:rsid w:val="003D2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ain.sci.gov.in/pdf/jud/05082022_125723.pdf" TargetMode="External"/><Relationship Id="rId18" Type="http://schemas.openxmlformats.org/officeDocument/2006/relationships/hyperlink" Target="https://main.sci.gov.in/supremecourt/2021/26866/26866_2021_4_1502_36260_Judgement_11-Jul-2022.pdf" TargetMode="External"/><Relationship Id="rId26" Type="http://schemas.openxmlformats.org/officeDocument/2006/relationships/hyperlink" Target="https://delhicourts.nic.in/High%20Court%20Judgements/July22/NITIN%20REKHAN%20%20vs.%20uoi.pdf" TargetMode="External"/><Relationship Id="rId39" Type="http://schemas.openxmlformats.org/officeDocument/2006/relationships/hyperlink" Target="https://karnatakajudiciary.kar.nic.in/judgements/Comm-Ap-No-32-2022.pdf" TargetMode="External"/><Relationship Id="rId21" Type="http://schemas.openxmlformats.org/officeDocument/2006/relationships/hyperlink" Target="https://www.indiacode.nic.in/bitstream/123456789/1978/1/AAA1996__26.pdf" TargetMode="External"/><Relationship Id="rId34" Type="http://schemas.openxmlformats.org/officeDocument/2006/relationships/hyperlink" Target="https://www.mca.gov.in/Ministry/pdf/General_Circular_5-2015.pdf" TargetMode="External"/><Relationship Id="rId42" Type="http://schemas.openxmlformats.org/officeDocument/2006/relationships/hyperlink" Target="https://indiankanoon.org/doc/772406/" TargetMode="External"/><Relationship Id="rId47" Type="http://schemas.openxmlformats.org/officeDocument/2006/relationships/hyperlink" Target="https://indiankanoon.org/doc/772406/" TargetMode="External"/><Relationship Id="rId50" Type="http://schemas.openxmlformats.org/officeDocument/2006/relationships/hyperlink" Target="https://indiankanoon.org/doc/536284/" TargetMode="External"/><Relationship Id="rId55" Type="http://schemas.openxmlformats.org/officeDocument/2006/relationships/hyperlink" Target="http://livelaw.in/pdf_upload/pms29082022sc5822022152940-433129.pdf" TargetMode="External"/><Relationship Id="rId63" Type="http://schemas.openxmlformats.org/officeDocument/2006/relationships/hyperlink" Target="https://www.livelaw.in/news-updates/nclat-delhi-section-7-of-insolvency-and-bankruptcy-code-corporate-debtor-financial-creditor-207834" TargetMode="External"/><Relationship Id="rId68" Type="http://schemas.openxmlformats.org/officeDocument/2006/relationships/hyperlink" Target="https://cdn.ibclaw.online/insolvency/nclat/2019/July/Suraksha+Asset+Reconstruction+Pvt.+Ltd.+Vs.+Jindal+Steel+and+Power+Limited+%26+Anr.+-+NCLAT+New+Delhi.pdf" TargetMode="External"/><Relationship Id="rId76" Type="http://schemas.openxmlformats.org/officeDocument/2006/relationships/hyperlink" Target="https://ibbi.gov.in/uploads/order/1738b5cb04ce2d7701e72cbb65544721.pdf" TargetMode="External"/><Relationship Id="rId84" Type="http://schemas.openxmlformats.org/officeDocument/2006/relationships/hyperlink" Target="https://indiankanoon.org/doc/1006941/" TargetMode="External"/><Relationship Id="rId89" Type="http://schemas.openxmlformats.org/officeDocument/2006/relationships/hyperlink" Target="https://www.mca.gov.in/bin/dms/getdocument?mds=99KwRbJSkMXjVLv09KTgJg%253D%253D&amp;type=open" TargetMode="External"/><Relationship Id="rId7" Type="http://schemas.openxmlformats.org/officeDocument/2006/relationships/endnotes" Target="endnotes.xml"/><Relationship Id="rId71" Type="http://schemas.openxmlformats.org/officeDocument/2006/relationships/hyperlink" Target="https://main.sci.gov.in/supremecourt/2019/35907/35907_2019_7_1501_20906_Judgement_26-Feb-2020.pdf" TargetMode="External"/><Relationship Id="rId92" Type="http://schemas.openxmlformats.org/officeDocument/2006/relationships/hyperlink" Target="https://economictimes.indiatimes.com/markets/stocks/news/sebi-joins-account-aggregator-ecosystem/articleshow/93663850.cms" TargetMode="External"/><Relationship Id="rId2" Type="http://schemas.openxmlformats.org/officeDocument/2006/relationships/numbering" Target="numbering.xml"/><Relationship Id="rId16" Type="http://schemas.openxmlformats.org/officeDocument/2006/relationships/hyperlink" Target="https://main.sci.gov.in/supremecourt/2021/28774/28774_2021_1_1502_36050_Judgement_20-May-2022.pdf" TargetMode="External"/><Relationship Id="rId29" Type="http://schemas.openxmlformats.org/officeDocument/2006/relationships/hyperlink" Target="https://indiankanoon.org/doc/477725/" TargetMode="External"/><Relationship Id="rId11" Type="http://schemas.openxmlformats.org/officeDocument/2006/relationships/hyperlink" Target="https://main.sci.gov.in/pdf/jud/05082022_125723.pdf" TargetMode="External"/><Relationship Id="rId24" Type="http://schemas.openxmlformats.org/officeDocument/2006/relationships/hyperlink" Target="https://indiankanoon.org/doc/982095/" TargetMode="External"/><Relationship Id="rId32" Type="http://schemas.openxmlformats.org/officeDocument/2006/relationships/hyperlink" Target="https://ca2013.com/rule-2-companies-acceptance-of-deposits-rules-2014/" TargetMode="External"/><Relationship Id="rId37" Type="http://schemas.openxmlformats.org/officeDocument/2006/relationships/hyperlink" Target="https://www.mca.gov.in/Ministry/pdf/General_Circular_5-2015.pdf" TargetMode="External"/><Relationship Id="rId40" Type="http://schemas.openxmlformats.org/officeDocument/2006/relationships/hyperlink" Target="https://indiankanoon.org/doc/536284/" TargetMode="External"/><Relationship Id="rId45" Type="http://schemas.openxmlformats.org/officeDocument/2006/relationships/hyperlink" Target="https://legislative.gov.in/sites/default/files/A2016-4_1.pdf" TargetMode="External"/><Relationship Id="rId53" Type="http://schemas.openxmlformats.org/officeDocument/2006/relationships/hyperlink" Target="https://www.livelaw.in/news-updates/urgent-interim-relief-ipr-cases-delhi-high-court-208076" TargetMode="External"/><Relationship Id="rId58" Type="http://schemas.openxmlformats.org/officeDocument/2006/relationships/hyperlink" Target="https://legislative.gov.in/sites/default/files/A2016-4_1.pdf" TargetMode="External"/><Relationship Id="rId66" Type="http://schemas.openxmlformats.org/officeDocument/2006/relationships/hyperlink" Target="https://www.livelaw.in/pdf_upload/arun-kumar-jagatramka-vs-jindal-steel-and-power-ltd-ll-2021-sc-160-390582.pdf" TargetMode="External"/><Relationship Id="rId74" Type="http://schemas.openxmlformats.org/officeDocument/2006/relationships/hyperlink" Target="https://main.sci.gov.in/jonew/judis/16838.pdf" TargetMode="External"/><Relationship Id="rId79" Type="http://schemas.openxmlformats.org/officeDocument/2006/relationships/hyperlink" Target="https://ibbi.gov.in/webadmin/pdf/legalframwork/2019/Mar/Application_to_Adjudicating_Authority_Rules-upto%2019.03.2019_2019-03-28%2013:12:13.pdf" TargetMode="External"/><Relationship Id="rId87" Type="http://schemas.openxmlformats.org/officeDocument/2006/relationships/hyperlink" Target="https://www.mca.gov.in/bin/ebook/dms/getdocument?doc=MTcyODE0NDc2&amp;docCategory=Notifications&amp;type=open" TargetMode="External"/><Relationship Id="rId5" Type="http://schemas.openxmlformats.org/officeDocument/2006/relationships/webSettings" Target="webSettings.xml"/><Relationship Id="rId61" Type="http://schemas.openxmlformats.org/officeDocument/2006/relationships/hyperlink" Target="http://tnsja.tn.gov.in/article/order_vii_rule11.pdf" TargetMode="External"/><Relationship Id="rId82" Type="http://schemas.openxmlformats.org/officeDocument/2006/relationships/hyperlink" Target="https://incometaxindia.gov.in/_layouts/15/dit/pages/viewer.aspx?grp=act&amp;cname=cmsid&amp;cval=102120000000073607&amp;searchfilter=%5B%7B" TargetMode="External"/><Relationship Id="rId90" Type="http://schemas.openxmlformats.org/officeDocument/2006/relationships/hyperlink" Target="https://www.livemint.com/companies/news/centre-revises-csr-rules-11663842823272.html" TargetMode="External"/><Relationship Id="rId95" Type="http://schemas.openxmlformats.org/officeDocument/2006/relationships/theme" Target="theme/theme1.xml"/><Relationship Id="rId19" Type="http://schemas.openxmlformats.org/officeDocument/2006/relationships/hyperlink" Target="https://indiankanoon.org/doc/279624/" TargetMode="External"/><Relationship Id="rId14" Type="http://schemas.openxmlformats.org/officeDocument/2006/relationships/hyperlink" Target="https://indiankanoon.org/doc/1613898/" TargetMode="External"/><Relationship Id="rId22" Type="http://schemas.openxmlformats.org/officeDocument/2006/relationships/hyperlink" Target="https://indiankanoon.org/doc/536284/" TargetMode="External"/><Relationship Id="rId27" Type="http://schemas.openxmlformats.org/officeDocument/2006/relationships/hyperlink" Target="https://ca2013.com/wp-content/uploads/2016/08/The-Companies-Acceptance-of-deposits-rules-2014-dated-31032014.pdf" TargetMode="External"/><Relationship Id="rId30" Type="http://schemas.openxmlformats.org/officeDocument/2006/relationships/hyperlink" Target="https://www.mca.gov.in/Ministry/pdf/CompaniesAct2013.pdf" TargetMode="External"/><Relationship Id="rId35" Type="http://schemas.openxmlformats.org/officeDocument/2006/relationships/hyperlink" Target="https://ca2013.com/section-231-deposit/" TargetMode="External"/><Relationship Id="rId43" Type="http://schemas.openxmlformats.org/officeDocument/2006/relationships/hyperlink" Target="https://indiankanoon.org/doc/772406/" TargetMode="External"/><Relationship Id="rId48" Type="http://schemas.openxmlformats.org/officeDocument/2006/relationships/hyperlink" Target="https://indiankanoon.org/doc/772406/" TargetMode="External"/><Relationship Id="rId56" Type="http://schemas.openxmlformats.org/officeDocument/2006/relationships/hyperlink" Target="https://legislative.gov.in/sites/default/files/A2016-4_1.pdf" TargetMode="External"/><Relationship Id="rId64" Type="http://schemas.openxmlformats.org/officeDocument/2006/relationships/hyperlink" Target="https://ibbi.gov.in//uploads/order/431abc51735762435f5f893a37b675f0.pdf" TargetMode="External"/><Relationship Id="rId69" Type="http://schemas.openxmlformats.org/officeDocument/2006/relationships/hyperlink" Target="https://cdn.ibclaw.online/insolvency/nclat/2019/July/Suraksha+Asset+Reconstruction+Pvt.+Ltd.+Vs.+Jindal+Steel+and+Power+Limited+%26+Anr.+-+NCLAT+New+Delhi.pdf" TargetMode="External"/><Relationship Id="rId77" Type="http://schemas.openxmlformats.org/officeDocument/2006/relationships/hyperlink" Target="https://ibbi.gov.in/uploads/order/1738b5cb04ce2d7701e72cbb65544721.pdf" TargetMode="External"/><Relationship Id="rId8" Type="http://schemas.openxmlformats.org/officeDocument/2006/relationships/hyperlink" Target="https://www.livelaw.in/top-stories/sebi-reliance-supreme-court-directs-disclose-complaint-securities-exhange-board-india-205842" TargetMode="External"/><Relationship Id="rId51" Type="http://schemas.openxmlformats.org/officeDocument/2006/relationships/hyperlink" Target="https://www.indiacode.nic.in/bitstream/123456789/1978/1/AAA1996__26.pdf" TargetMode="External"/><Relationship Id="rId72" Type="http://schemas.openxmlformats.org/officeDocument/2006/relationships/hyperlink" Target="https://main.sci.gov.in/supremecourt/2019/35907/35907_2019_7_1501_20906_Judgement_26-Feb-2020.pdf" TargetMode="External"/><Relationship Id="rId80" Type="http://schemas.openxmlformats.org/officeDocument/2006/relationships/hyperlink" Target="http://livelaw.in/news-updates/income-tax-appellate-tribunal-itat-securities-and-exchange-board-of-india-sebi-section-371-of-the-income-tax-act-206383" TargetMode="External"/><Relationship Id="rId85" Type="http://schemas.openxmlformats.org/officeDocument/2006/relationships/hyperlink" Target="https://indiankanoon.org/doc/581124/"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ain.sci.gov.in/pdf/jud/05082022_125723.pdf" TargetMode="External"/><Relationship Id="rId17" Type="http://schemas.openxmlformats.org/officeDocument/2006/relationships/hyperlink" Target="https://www.livelaw.in/top-stories/supreme-court-arbitration-section-34-modify-award-remand-national-highways-authority-of-india-vs-p-nagaraju-cheluvaiah-2022-livelaw-sc-584-203587" TargetMode="External"/><Relationship Id="rId25" Type="http://schemas.openxmlformats.org/officeDocument/2006/relationships/hyperlink" Target="https://www.livelaw.in/news-updates/s231-companies-act-2013-which-defines-deposit-does-not-operate-retrospectively-delhi-high-court-204444" TargetMode="External"/><Relationship Id="rId33" Type="http://schemas.openxmlformats.org/officeDocument/2006/relationships/hyperlink" Target="https://ca2013.com/rule-2-companies-acceptance-of-deposits-rules-2014/" TargetMode="External"/><Relationship Id="rId38" Type="http://schemas.openxmlformats.org/officeDocument/2006/relationships/hyperlink" Target="https://www.livelaw.in/news-updates/karnataka-high-court-arbitration-and-conciliation-act-international-arbitration-commercial-courts-act-international-commercial-arbitral-award-section-37-of-the-ac-act-200613" TargetMode="External"/><Relationship Id="rId46" Type="http://schemas.openxmlformats.org/officeDocument/2006/relationships/hyperlink" Target="https://legislative.gov.in/sites/default/files/A2016-4_1.pdf" TargetMode="External"/><Relationship Id="rId59" Type="http://schemas.openxmlformats.org/officeDocument/2006/relationships/hyperlink" Target="https://legislative.gov.in/sites/default/files/A2016-4_1.pdf" TargetMode="External"/><Relationship Id="rId67" Type="http://schemas.openxmlformats.org/officeDocument/2006/relationships/hyperlink" Target="https://www.livelaw.in/pdf_upload/arun-kumar-jagatramka-vs-jindal-steel-and-power-ltd-ll-2021-sc-160-390582.pdf" TargetMode="External"/><Relationship Id="rId20" Type="http://schemas.openxmlformats.org/officeDocument/2006/relationships/hyperlink" Target="https://indiankanoon.org/doc/193987/" TargetMode="External"/><Relationship Id="rId41" Type="http://schemas.openxmlformats.org/officeDocument/2006/relationships/hyperlink" Target="https://indiankanoon.org/doc/772406/" TargetMode="External"/><Relationship Id="rId54" Type="http://schemas.openxmlformats.org/officeDocument/2006/relationships/hyperlink" Target="https://www.livelaw.in/news-updates/urgent-interim-relief-ipr-cases-delhi-high-court-208076" TargetMode="External"/><Relationship Id="rId62" Type="http://schemas.openxmlformats.org/officeDocument/2006/relationships/hyperlink" Target="https://legislative.gov.in/sites/default/files/A2016-4_1.pdf" TargetMode="External"/><Relationship Id="rId70" Type="http://schemas.openxmlformats.org/officeDocument/2006/relationships/hyperlink" Target="https://cdn.ibclaw.online/insolvency/nclat/2019/July/Suraksha+Asset+Reconstruction+Pvt.+Ltd.+Vs.+Jindal+Steel+and+Power+Limited+%26+Anr.+-+NCLAT+New+Delhi.pdf" TargetMode="External"/><Relationship Id="rId75" Type="http://schemas.openxmlformats.org/officeDocument/2006/relationships/hyperlink" Target="https://www.livelaw.in/news-updates/nclat-delhi-section-7-of-the-insolvency-and-bankruptcy-code-corporate-insolvency-resolution-process-cirp-committee-of-creditors-208957" TargetMode="External"/><Relationship Id="rId83" Type="http://schemas.openxmlformats.org/officeDocument/2006/relationships/hyperlink" Target="http://livelaw.in/news-updates/delhi-high-court-income-tax-act-income-tax-additions-assessing-officer-itat-205490" TargetMode="External"/><Relationship Id="rId88" Type="http://schemas.openxmlformats.org/officeDocument/2006/relationships/hyperlink" Target="https://www.mca.gov.in/Ministry/pdf/CompaniesAct2013.pdf" TargetMode="External"/><Relationship Id="rId91" Type="http://schemas.openxmlformats.org/officeDocument/2006/relationships/hyperlink" Target="https://www.sebi.gov.in/legal/circulars/aug-2022/guidelines-for-overseas-investment-by-alternative-investment-funds-aifs-venture-capital-funds-vcfs-_62020.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diankanoon.org/doc/1912727/" TargetMode="External"/><Relationship Id="rId23" Type="http://schemas.openxmlformats.org/officeDocument/2006/relationships/hyperlink" Target="https://indiankanoon.org/doc/772406/" TargetMode="External"/><Relationship Id="rId28" Type="http://schemas.openxmlformats.org/officeDocument/2006/relationships/hyperlink" Target="https://indiankanoon.org/doc/1353758/" TargetMode="External"/><Relationship Id="rId36" Type="http://schemas.openxmlformats.org/officeDocument/2006/relationships/hyperlink" Target="https://www.mca.gov.in/Ministry/pdf/General_Circular_5-2015.pdf" TargetMode="External"/><Relationship Id="rId49" Type="http://schemas.openxmlformats.org/officeDocument/2006/relationships/hyperlink" Target="https://indiankanoon.org/doc/772406/" TargetMode="External"/><Relationship Id="rId57" Type="http://schemas.openxmlformats.org/officeDocument/2006/relationships/hyperlink" Target="https://indiankanoon.org/doc/164693074/" TargetMode="External"/><Relationship Id="rId10" Type="http://schemas.openxmlformats.org/officeDocument/2006/relationships/hyperlink" Target="https://main.sci.gov.in/pdf/jud/05082022_125723.pdf" TargetMode="External"/><Relationship Id="rId31" Type="http://schemas.openxmlformats.org/officeDocument/2006/relationships/hyperlink" Target="https://ca2013.com/rule/rule-21c-companies-acceptance-of-deposits-rules2014/" TargetMode="External"/><Relationship Id="rId44" Type="http://schemas.openxmlformats.org/officeDocument/2006/relationships/hyperlink" Target="https://indiankanoon.org/doc/536284/" TargetMode="External"/><Relationship Id="rId52" Type="http://schemas.openxmlformats.org/officeDocument/2006/relationships/hyperlink" Target="https://legislative.gov.in/sites/default/files/A2016-4_1.pdf" TargetMode="External"/><Relationship Id="rId60" Type="http://schemas.openxmlformats.org/officeDocument/2006/relationships/hyperlink" Target="https://legislative.gov.in/sites/default/files/A2016-4_1.pdf" TargetMode="External"/><Relationship Id="rId65" Type="http://schemas.openxmlformats.org/officeDocument/2006/relationships/hyperlink" Target="https://ibbi.gov.in/webadmin/pdf/legalframwork/2019/Mar/Application_to_Adjudicating_Authority_Rules-upto%2019.03.2019_2019-03-28%2013:12:13.pdf" TargetMode="External"/><Relationship Id="rId73" Type="http://schemas.openxmlformats.org/officeDocument/2006/relationships/hyperlink" Target="https://main.sci.gov.in/supremecourt/2019/35907/35907_2019_7_1501_20906_Judgement_26-Feb-2020.pdf" TargetMode="External"/><Relationship Id="rId78" Type="http://schemas.openxmlformats.org/officeDocument/2006/relationships/hyperlink" Target="https://ibbi.gov.in/webadmin/pdf/legalframwork/2019/Mar/Application_to_Adjudicating_Authority_Rules-upto%2019.03.2019_2019-03-28%2013:12:13.pdf" TargetMode="External"/><Relationship Id="rId81" Type="http://schemas.openxmlformats.org/officeDocument/2006/relationships/hyperlink" Target="https://www.livelaw.in/pdf_upload/1658816761-648-djs-stock-and-shares-2-1-430131.pdf" TargetMode="External"/><Relationship Id="rId86" Type="http://schemas.openxmlformats.org/officeDocument/2006/relationships/hyperlink" Target="https://www.mca.gov.in/bin/ebook/dms/getdocument?doc=MTcyODE0NDc2&amp;docCategory=Notifications&amp;type=open"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in.sci.gov.in/pdf/jud/05082022_1257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BCWCkHP2CpxdLximHUgymLowWw==">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15</Pages>
  <Words>6571</Words>
  <Characters>37456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Shahid Saifi</cp:lastModifiedBy>
  <cp:revision>3</cp:revision>
  <dcterms:created xsi:type="dcterms:W3CDTF">2022-12-21T05:39:00Z</dcterms:created>
  <dcterms:modified xsi:type="dcterms:W3CDTF">2022-12-21T06:57:00Z</dcterms:modified>
</cp:coreProperties>
</file>